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2DB2E" w14:textId="77777777" w:rsidR="00FC28D5" w:rsidRDefault="00000000">
      <w:pPr>
        <w:pStyle w:val="Heading3"/>
      </w:pPr>
      <w:r>
        <w:t>INTRODUCTION</w:t>
      </w:r>
    </w:p>
    <w:p w14:paraId="353F48E8" w14:textId="77777777" w:rsidR="00FC28D5" w:rsidRDefault="00000000">
      <w:pPr>
        <w:pBdr>
          <w:top w:val="nil"/>
          <w:left w:val="nil"/>
          <w:bottom w:val="nil"/>
          <w:right w:val="nil"/>
          <w:between w:val="nil"/>
        </w:pBdr>
        <w:spacing w:line="240" w:lineRule="auto"/>
        <w:jc w:val="both"/>
        <w:rPr>
          <w:rFonts w:ascii="Gotham" w:eastAsia="Gotham" w:hAnsi="Gotham" w:cs="Gotham"/>
          <w:color w:val="000000"/>
          <w:sz w:val="22"/>
          <w:szCs w:val="22"/>
        </w:rPr>
      </w:pPr>
      <w:r>
        <w:rPr>
          <w:rFonts w:ascii="Gotham" w:eastAsia="Gotham" w:hAnsi="Gotham" w:cs="Gotham"/>
          <w:color w:val="000000"/>
          <w:sz w:val="22"/>
          <w:szCs w:val="22"/>
        </w:rPr>
        <w:t>La-Z-Boy Home Furnishings of Eastern Ontario and Western Québec (LZB) is committed to meeting the requirements of the Accessibility for Ontarians with Disabilities Act, 2005 (AODA), the Integrated Accessibility Standards Regulation (IASR) and any other accessibility–related legislation as applicable. We provide goods, services, information and employment in a manner that respects dignity, independence, integration and equal opportunity for persons with disabilities. This accessibility plan outlines the steps we are taking to meet requirements and to improve opportunities for people with disabilities.</w:t>
      </w:r>
    </w:p>
    <w:p w14:paraId="57DCB3E9" w14:textId="77777777" w:rsidR="00FC28D5" w:rsidRDefault="00000000">
      <w:pPr>
        <w:pStyle w:val="Heading3"/>
        <w:rPr>
          <w:color w:val="000000"/>
        </w:rPr>
      </w:pPr>
      <w:r>
        <w:t>PAST ACHIEVEMENTS TO REMOVE AND PREVENT BARRIERS</w:t>
      </w:r>
    </w:p>
    <w:p w14:paraId="48EEE45C" w14:textId="77777777" w:rsidR="00FC28D5" w:rsidRDefault="00000000">
      <w:pPr>
        <w:pBdr>
          <w:top w:val="nil"/>
          <w:left w:val="nil"/>
          <w:bottom w:val="nil"/>
          <w:right w:val="nil"/>
          <w:between w:val="nil"/>
        </w:pBdr>
        <w:spacing w:line="240" w:lineRule="auto"/>
        <w:jc w:val="both"/>
        <w:rPr>
          <w:rFonts w:ascii="Gotham" w:eastAsia="Gotham" w:hAnsi="Gotham" w:cs="Gotham"/>
          <w:color w:val="000000"/>
          <w:sz w:val="22"/>
          <w:szCs w:val="22"/>
        </w:rPr>
      </w:pPr>
      <w:r>
        <w:rPr>
          <w:rFonts w:ascii="Gotham" w:eastAsia="Gotham" w:hAnsi="Gotham" w:cs="Gotham"/>
          <w:color w:val="000000"/>
          <w:sz w:val="22"/>
          <w:szCs w:val="22"/>
        </w:rPr>
        <w:t>This document includes a summary of the accessibility initiatives LZB has completed.</w:t>
      </w:r>
    </w:p>
    <w:p w14:paraId="0FBB7AC9" w14:textId="77777777" w:rsidR="00FC28D5" w:rsidRDefault="00000000">
      <w:pPr>
        <w:pStyle w:val="Heading3"/>
        <w:rPr>
          <w:color w:val="000000"/>
        </w:rPr>
      </w:pPr>
      <w:r>
        <w:t>PART I – GENERAL REQUIREMENTS</w:t>
      </w:r>
    </w:p>
    <w:tbl>
      <w:tblPr>
        <w:tblStyle w:val="a9"/>
        <w:tblW w:w="108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41"/>
        <w:gridCol w:w="4758"/>
        <w:gridCol w:w="2410"/>
        <w:gridCol w:w="1607"/>
      </w:tblGrid>
      <w:tr w:rsidR="00FC28D5" w14:paraId="76CEDAA2" w14:textId="77777777" w:rsidTr="00FC2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266230EF" w14:textId="77777777" w:rsidR="00FC28D5" w:rsidRDefault="00000000">
            <w:pPr>
              <w:jc w:val="center"/>
              <w:rPr>
                <w:rFonts w:ascii="Gotham" w:eastAsia="Gotham" w:hAnsi="Gotham" w:cs="Gotham"/>
                <w:sz w:val="22"/>
                <w:szCs w:val="22"/>
              </w:rPr>
            </w:pPr>
            <w:r>
              <w:rPr>
                <w:rFonts w:ascii="Gotham" w:eastAsia="Gotham" w:hAnsi="Gotham" w:cs="Gotham"/>
                <w:b w:val="0"/>
                <w:sz w:val="22"/>
                <w:szCs w:val="22"/>
              </w:rPr>
              <w:t>Initiative</w:t>
            </w:r>
          </w:p>
        </w:tc>
        <w:tc>
          <w:tcPr>
            <w:tcW w:w="4758" w:type="dxa"/>
          </w:tcPr>
          <w:p w14:paraId="1FFC1858"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Description</w:t>
            </w:r>
          </w:p>
        </w:tc>
        <w:tc>
          <w:tcPr>
            <w:tcW w:w="2410" w:type="dxa"/>
          </w:tcPr>
          <w:p w14:paraId="253EA171"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Action</w:t>
            </w:r>
          </w:p>
        </w:tc>
        <w:tc>
          <w:tcPr>
            <w:tcW w:w="1607" w:type="dxa"/>
          </w:tcPr>
          <w:p w14:paraId="6EC42BBD"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Compliance Date under AODA</w:t>
            </w:r>
          </w:p>
        </w:tc>
      </w:tr>
      <w:tr w:rsidR="00FC28D5" w14:paraId="0AC4FA55"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78A6651F" w14:textId="77777777" w:rsidR="00FC28D5" w:rsidRDefault="00FC28D5">
            <w:pPr>
              <w:rPr>
                <w:rFonts w:ascii="Gotham" w:eastAsia="Gotham" w:hAnsi="Gotham" w:cs="Gotham"/>
                <w:sz w:val="22"/>
                <w:szCs w:val="22"/>
              </w:rPr>
            </w:pPr>
          </w:p>
          <w:p w14:paraId="2282423C" w14:textId="77777777" w:rsidR="00FC28D5" w:rsidRDefault="00FC28D5">
            <w:pPr>
              <w:rPr>
                <w:rFonts w:ascii="Gotham" w:eastAsia="Gotham" w:hAnsi="Gotham" w:cs="Gotham"/>
                <w:sz w:val="22"/>
                <w:szCs w:val="22"/>
              </w:rPr>
            </w:pPr>
          </w:p>
          <w:p w14:paraId="7A33C7E4" w14:textId="77777777" w:rsidR="00FC28D5" w:rsidRDefault="00000000">
            <w:pPr>
              <w:rPr>
                <w:rFonts w:ascii="Gotham" w:eastAsia="Gotham" w:hAnsi="Gotham" w:cs="Gotham"/>
                <w:sz w:val="22"/>
                <w:szCs w:val="22"/>
              </w:rPr>
            </w:pPr>
            <w:r>
              <w:rPr>
                <w:rFonts w:ascii="Gotham" w:eastAsia="Gotham" w:hAnsi="Gotham" w:cs="Gotham"/>
                <w:sz w:val="22"/>
                <w:szCs w:val="22"/>
              </w:rPr>
              <w:t>Establishment of Accessibility Policies</w:t>
            </w:r>
          </w:p>
        </w:tc>
        <w:tc>
          <w:tcPr>
            <w:tcW w:w="4758" w:type="dxa"/>
          </w:tcPr>
          <w:p w14:paraId="2F887CB3"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3.(1) Every obligated organization shall develop, implement and maintain policies governing how the organization achieves or will achieve accessibility through meeting its requirements referred to in this Regulation.</w:t>
            </w:r>
          </w:p>
        </w:tc>
        <w:tc>
          <w:tcPr>
            <w:tcW w:w="2410" w:type="dxa"/>
          </w:tcPr>
          <w:p w14:paraId="2224B712"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Complete</w:t>
            </w:r>
          </w:p>
          <w:p w14:paraId="758FF16C"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E2DABC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hyperlink r:id="rId8">
              <w:r>
                <w:rPr>
                  <w:rFonts w:ascii="Gotham" w:eastAsia="Gotham" w:hAnsi="Gotham" w:cs="Gotham"/>
                  <w:color w:val="1155CC"/>
                  <w:sz w:val="22"/>
                  <w:szCs w:val="22"/>
                  <w:u w:val="single"/>
                </w:rPr>
                <w:t>Policy on the website</w:t>
              </w:r>
            </w:hyperlink>
            <w:r>
              <w:rPr>
                <w:rFonts w:ascii="Gotham" w:eastAsia="Gotham" w:hAnsi="Gotham" w:cs="Gotham"/>
                <w:sz w:val="22"/>
                <w:szCs w:val="22"/>
              </w:rPr>
              <w:t xml:space="preserve"> </w:t>
            </w:r>
          </w:p>
        </w:tc>
        <w:tc>
          <w:tcPr>
            <w:tcW w:w="1607" w:type="dxa"/>
          </w:tcPr>
          <w:p w14:paraId="2924C325"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025F3CF5"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1AB246AB"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 Jul 31, 2025 – </w:t>
            </w:r>
            <w:hyperlink r:id="rId9">
              <w:r>
                <w:rPr>
                  <w:rFonts w:ascii="Gotham" w:eastAsia="Gotham" w:hAnsi="Gotham" w:cs="Gotham"/>
                  <w:color w:val="1155CC"/>
                  <w:sz w:val="22"/>
                  <w:szCs w:val="22"/>
                  <w:u w:val="single"/>
                </w:rPr>
                <w:t>Policy on the website</w:t>
              </w:r>
            </w:hyperlink>
            <w:r>
              <w:rPr>
                <w:rFonts w:ascii="Gotham" w:eastAsia="Gotham" w:hAnsi="Gotham" w:cs="Gotham"/>
                <w:sz w:val="22"/>
                <w:szCs w:val="22"/>
              </w:rPr>
              <w:t>, updated August 28, 2025</w:t>
            </w:r>
          </w:p>
          <w:p w14:paraId="444DC26C"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762891D5"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0D6F881A"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214FF3EA" w14:textId="77777777" w:rsidTr="00FC28D5">
        <w:tc>
          <w:tcPr>
            <w:cnfStyle w:val="001000000000" w:firstRow="0" w:lastRow="0" w:firstColumn="1" w:lastColumn="0" w:oddVBand="0" w:evenVBand="0" w:oddHBand="0" w:evenHBand="0" w:firstRowFirstColumn="0" w:firstRowLastColumn="0" w:lastRowFirstColumn="0" w:lastRowLastColumn="0"/>
            <w:tcW w:w="2041" w:type="dxa"/>
          </w:tcPr>
          <w:p w14:paraId="41C43AC9" w14:textId="77777777" w:rsidR="00FC28D5" w:rsidRDefault="00FC28D5">
            <w:pPr>
              <w:rPr>
                <w:rFonts w:ascii="Gotham" w:eastAsia="Gotham" w:hAnsi="Gotham" w:cs="Gotham"/>
                <w:sz w:val="22"/>
                <w:szCs w:val="22"/>
              </w:rPr>
            </w:pPr>
          </w:p>
          <w:p w14:paraId="20101BCB" w14:textId="77777777" w:rsidR="00FC28D5" w:rsidRDefault="00FC28D5">
            <w:pPr>
              <w:rPr>
                <w:rFonts w:ascii="Gotham" w:eastAsia="Gotham" w:hAnsi="Gotham" w:cs="Gotham"/>
                <w:sz w:val="22"/>
                <w:szCs w:val="22"/>
              </w:rPr>
            </w:pPr>
          </w:p>
          <w:p w14:paraId="25070E5E" w14:textId="77777777" w:rsidR="00FC28D5" w:rsidRDefault="00FC28D5">
            <w:pPr>
              <w:rPr>
                <w:rFonts w:ascii="Gotham" w:eastAsia="Gotham" w:hAnsi="Gotham" w:cs="Gotham"/>
                <w:sz w:val="22"/>
                <w:szCs w:val="22"/>
              </w:rPr>
            </w:pPr>
          </w:p>
          <w:p w14:paraId="1ABEFAE7" w14:textId="77777777" w:rsidR="00FC28D5" w:rsidRDefault="00FC28D5">
            <w:pPr>
              <w:rPr>
                <w:rFonts w:ascii="Gotham" w:eastAsia="Gotham" w:hAnsi="Gotham" w:cs="Gotham"/>
                <w:sz w:val="22"/>
                <w:szCs w:val="22"/>
              </w:rPr>
            </w:pPr>
          </w:p>
          <w:p w14:paraId="2BAC1FB9" w14:textId="77777777" w:rsidR="00FC28D5" w:rsidRDefault="00FC28D5">
            <w:pPr>
              <w:rPr>
                <w:rFonts w:ascii="Gotham" w:eastAsia="Gotham" w:hAnsi="Gotham" w:cs="Gotham"/>
                <w:sz w:val="22"/>
                <w:szCs w:val="22"/>
              </w:rPr>
            </w:pPr>
          </w:p>
          <w:p w14:paraId="0549D1B4" w14:textId="77777777" w:rsidR="00FC28D5" w:rsidRDefault="00000000">
            <w:pPr>
              <w:rPr>
                <w:rFonts w:ascii="Gotham" w:eastAsia="Gotham" w:hAnsi="Gotham" w:cs="Gotham"/>
                <w:sz w:val="22"/>
                <w:szCs w:val="22"/>
              </w:rPr>
            </w:pPr>
            <w:r>
              <w:rPr>
                <w:rFonts w:ascii="Gotham" w:eastAsia="Gotham" w:hAnsi="Gotham" w:cs="Gotham"/>
                <w:sz w:val="22"/>
                <w:szCs w:val="22"/>
              </w:rPr>
              <w:t>Accessibility Plans</w:t>
            </w:r>
          </w:p>
        </w:tc>
        <w:tc>
          <w:tcPr>
            <w:tcW w:w="4758" w:type="dxa"/>
          </w:tcPr>
          <w:p w14:paraId="7BFEA387"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4.(1) […] Large organizations (&gt;50 employees) shall: </w:t>
            </w:r>
          </w:p>
          <w:p w14:paraId="72D47AA2"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5C719E26"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  establish, implement, maintain and document a multi-year accessibility plan, which outlines the organization’s strategy to prevent and remove barriers and meet its requirements under this Regulation;</w:t>
            </w:r>
          </w:p>
          <w:p w14:paraId="0DCCF70B"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0B2E0F4E"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(b)  post the accessibility plan on their website, if any, and provide the plan in an accessible format upon request; and</w:t>
            </w:r>
          </w:p>
          <w:p w14:paraId="010DE08E"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0C6C6A6D"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(c)  review and update the accessibility plan at least once every five years.</w:t>
            </w:r>
          </w:p>
        </w:tc>
        <w:tc>
          <w:tcPr>
            <w:tcW w:w="2410" w:type="dxa"/>
          </w:tcPr>
          <w:p w14:paraId="363B8BFA"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2575B387"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2F74F8AB"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 Complete</w:t>
            </w:r>
          </w:p>
          <w:p w14:paraId="35747B8F"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50B4E2B5"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b) Complete </w:t>
            </w:r>
          </w:p>
          <w:p w14:paraId="466A17B7"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6F1C98C6"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c) Placed review date in business calendar </w:t>
            </w:r>
          </w:p>
        </w:tc>
        <w:tc>
          <w:tcPr>
            <w:tcW w:w="1607" w:type="dxa"/>
          </w:tcPr>
          <w:p w14:paraId="371DE734"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113B98B9"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365EBB16"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 July 23, 2025</w:t>
            </w:r>
          </w:p>
          <w:p w14:paraId="6B3C1893"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7B87BA95"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b) August 28, 2025</w:t>
            </w:r>
          </w:p>
          <w:p w14:paraId="210DD7A6"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2B16B5F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c) Review in 2028</w:t>
            </w:r>
          </w:p>
        </w:tc>
      </w:tr>
      <w:tr w:rsidR="00FC28D5" w14:paraId="22896E55" w14:textId="77777777" w:rsidTr="00FC28D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041" w:type="dxa"/>
          </w:tcPr>
          <w:p w14:paraId="134D2569" w14:textId="77777777" w:rsidR="00FC28D5" w:rsidRDefault="00FC28D5">
            <w:pPr>
              <w:rPr>
                <w:rFonts w:ascii="Gotham" w:eastAsia="Gotham" w:hAnsi="Gotham" w:cs="Gotham"/>
                <w:sz w:val="22"/>
                <w:szCs w:val="22"/>
              </w:rPr>
            </w:pPr>
          </w:p>
          <w:p w14:paraId="11A0F8FA" w14:textId="77777777" w:rsidR="00FC28D5" w:rsidRDefault="00FC28D5">
            <w:pPr>
              <w:rPr>
                <w:rFonts w:ascii="Gotham" w:eastAsia="Gotham" w:hAnsi="Gotham" w:cs="Gotham"/>
                <w:sz w:val="22"/>
                <w:szCs w:val="22"/>
              </w:rPr>
            </w:pPr>
          </w:p>
          <w:p w14:paraId="677C3B67" w14:textId="77777777" w:rsidR="00FC28D5" w:rsidRDefault="00FC28D5">
            <w:pPr>
              <w:rPr>
                <w:rFonts w:ascii="Gotham" w:eastAsia="Gotham" w:hAnsi="Gotham" w:cs="Gotham"/>
                <w:sz w:val="22"/>
                <w:szCs w:val="22"/>
              </w:rPr>
            </w:pPr>
          </w:p>
          <w:p w14:paraId="23FFBB2E" w14:textId="77777777" w:rsidR="00FC28D5" w:rsidRDefault="00FC28D5">
            <w:pPr>
              <w:rPr>
                <w:rFonts w:ascii="Gotham" w:eastAsia="Gotham" w:hAnsi="Gotham" w:cs="Gotham"/>
                <w:sz w:val="22"/>
                <w:szCs w:val="22"/>
              </w:rPr>
            </w:pPr>
          </w:p>
          <w:p w14:paraId="24BCA89B" w14:textId="77777777" w:rsidR="00FC28D5" w:rsidRDefault="00FC28D5">
            <w:pPr>
              <w:rPr>
                <w:rFonts w:ascii="Gotham" w:eastAsia="Gotham" w:hAnsi="Gotham" w:cs="Gotham"/>
                <w:sz w:val="22"/>
                <w:szCs w:val="22"/>
              </w:rPr>
            </w:pPr>
          </w:p>
          <w:p w14:paraId="749D146D" w14:textId="77777777" w:rsidR="00FC28D5" w:rsidRDefault="00FC28D5">
            <w:pPr>
              <w:rPr>
                <w:rFonts w:ascii="Gotham" w:eastAsia="Gotham" w:hAnsi="Gotham" w:cs="Gotham"/>
                <w:sz w:val="22"/>
                <w:szCs w:val="22"/>
              </w:rPr>
            </w:pPr>
          </w:p>
          <w:p w14:paraId="49259CCC" w14:textId="77777777" w:rsidR="00FC28D5" w:rsidRDefault="00FC28D5">
            <w:pPr>
              <w:rPr>
                <w:rFonts w:ascii="Gotham" w:eastAsia="Gotham" w:hAnsi="Gotham" w:cs="Gotham"/>
                <w:sz w:val="22"/>
                <w:szCs w:val="22"/>
              </w:rPr>
            </w:pPr>
          </w:p>
          <w:p w14:paraId="42FD1A0C" w14:textId="77777777" w:rsidR="00FC28D5" w:rsidRDefault="00000000">
            <w:pPr>
              <w:rPr>
                <w:rFonts w:ascii="Gotham" w:eastAsia="Gotham" w:hAnsi="Gotham" w:cs="Gotham"/>
                <w:sz w:val="22"/>
                <w:szCs w:val="22"/>
              </w:rPr>
            </w:pPr>
            <w:r>
              <w:rPr>
                <w:rFonts w:ascii="Gotham" w:eastAsia="Gotham" w:hAnsi="Gotham" w:cs="Gotham"/>
                <w:sz w:val="22"/>
                <w:szCs w:val="22"/>
              </w:rPr>
              <w:t>Training</w:t>
            </w:r>
          </w:p>
        </w:tc>
        <w:tc>
          <w:tcPr>
            <w:tcW w:w="4758" w:type="dxa"/>
          </w:tcPr>
          <w:p w14:paraId="02DD1355"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7.(1) Every obligated organization shall ensure that training is provided on the requirements of the accessibility standards referred to in this Regulation and on the Human Rights Code as it pertains to persons with disabilities to,</w:t>
            </w:r>
          </w:p>
          <w:p w14:paraId="763B569A"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(a)  all persons who are an employee of, or a volunteer with, the organization;</w:t>
            </w:r>
          </w:p>
          <w:p w14:paraId="5D765106"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1F0F4659"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(b)  all persons who participate in developing the organization’s policies; and</w:t>
            </w:r>
          </w:p>
          <w:p w14:paraId="280A7EC7"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(c)  all other persons who provide goods, services or facilities on behalf of the organization.</w:t>
            </w:r>
          </w:p>
        </w:tc>
        <w:tc>
          <w:tcPr>
            <w:tcW w:w="2410" w:type="dxa"/>
          </w:tcPr>
          <w:p w14:paraId="35AE65D8"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 xml:space="preserve">Training links embedded in handbook and onboarding documentation – all employees, </w:t>
            </w:r>
            <w:r>
              <w:rPr>
                <w:rFonts w:ascii="Gotham" w:eastAsia="Gotham" w:hAnsi="Gotham" w:cs="Gotham"/>
                <w:sz w:val="22"/>
                <w:szCs w:val="22"/>
              </w:rPr>
              <w:lastRenderedPageBreak/>
              <w:t>contractors, company representatives</w:t>
            </w:r>
          </w:p>
        </w:tc>
        <w:tc>
          <w:tcPr>
            <w:tcW w:w="1607" w:type="dxa"/>
          </w:tcPr>
          <w:p w14:paraId="7E85E93B"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August 11, 2025 – Handbook Rollout</w:t>
            </w:r>
          </w:p>
          <w:p w14:paraId="72516D7F"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38E2A516"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Date TBD Onboarding program rollout</w:t>
            </w:r>
          </w:p>
          <w:p w14:paraId="69E411E2"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6D8F0395"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bl>
    <w:p w14:paraId="0D5A6875" w14:textId="77777777" w:rsidR="00FC28D5" w:rsidRDefault="00FC28D5">
      <w:pPr>
        <w:keepNext/>
        <w:keepLines/>
        <w:pBdr>
          <w:top w:val="nil"/>
          <w:left w:val="nil"/>
          <w:bottom w:val="nil"/>
          <w:right w:val="nil"/>
          <w:between w:val="nil"/>
        </w:pBdr>
        <w:spacing w:after="0"/>
        <w:jc w:val="both"/>
        <w:rPr>
          <w:rFonts w:ascii="Gotham" w:eastAsia="Gotham" w:hAnsi="Gotham" w:cs="Gotham"/>
          <w:color w:val="000000"/>
          <w:sz w:val="22"/>
          <w:szCs w:val="22"/>
        </w:rPr>
      </w:pPr>
    </w:p>
    <w:p w14:paraId="6065FF1C" w14:textId="77777777" w:rsidR="00FC28D5" w:rsidRDefault="00000000">
      <w:pPr>
        <w:pStyle w:val="Heading3"/>
        <w:rPr>
          <w:color w:val="000000"/>
        </w:rPr>
      </w:pPr>
      <w:r>
        <w:t>PART II – Information and Communications Standards</w:t>
      </w:r>
    </w:p>
    <w:tbl>
      <w:tblPr>
        <w:tblStyle w:val="aa"/>
        <w:tblW w:w="108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53"/>
        <w:gridCol w:w="4703"/>
        <w:gridCol w:w="2366"/>
        <w:gridCol w:w="1694"/>
      </w:tblGrid>
      <w:tr w:rsidR="00FC28D5" w14:paraId="145CFB76" w14:textId="77777777" w:rsidTr="00FC2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14:paraId="43F8AE43" w14:textId="77777777" w:rsidR="00FC28D5" w:rsidRDefault="00000000">
            <w:pPr>
              <w:jc w:val="center"/>
              <w:rPr>
                <w:rFonts w:ascii="Gotham" w:eastAsia="Gotham" w:hAnsi="Gotham" w:cs="Gotham"/>
                <w:sz w:val="22"/>
                <w:szCs w:val="22"/>
              </w:rPr>
            </w:pPr>
            <w:r>
              <w:rPr>
                <w:rFonts w:ascii="Gotham" w:eastAsia="Gotham" w:hAnsi="Gotham" w:cs="Gotham"/>
                <w:b w:val="0"/>
                <w:sz w:val="22"/>
                <w:szCs w:val="22"/>
              </w:rPr>
              <w:t>Initiative</w:t>
            </w:r>
          </w:p>
        </w:tc>
        <w:tc>
          <w:tcPr>
            <w:tcW w:w="4703" w:type="dxa"/>
          </w:tcPr>
          <w:p w14:paraId="3642190E"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Description</w:t>
            </w:r>
          </w:p>
        </w:tc>
        <w:tc>
          <w:tcPr>
            <w:tcW w:w="2366" w:type="dxa"/>
          </w:tcPr>
          <w:p w14:paraId="20C80A53"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Action</w:t>
            </w:r>
          </w:p>
        </w:tc>
        <w:tc>
          <w:tcPr>
            <w:tcW w:w="1694" w:type="dxa"/>
          </w:tcPr>
          <w:p w14:paraId="3540DCA2"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Compliance Date - AODA</w:t>
            </w:r>
          </w:p>
        </w:tc>
      </w:tr>
      <w:tr w:rsidR="00FC28D5" w14:paraId="68D1C501"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14:paraId="4E2791B8" w14:textId="77777777" w:rsidR="00FC28D5" w:rsidRDefault="00FC28D5">
            <w:pPr>
              <w:rPr>
                <w:rFonts w:ascii="Gotham" w:eastAsia="Gotham" w:hAnsi="Gotham" w:cs="Gotham"/>
                <w:sz w:val="22"/>
                <w:szCs w:val="22"/>
              </w:rPr>
            </w:pPr>
          </w:p>
          <w:p w14:paraId="5F0E0DFE" w14:textId="77777777" w:rsidR="00FC28D5" w:rsidRDefault="00FC28D5">
            <w:pPr>
              <w:rPr>
                <w:rFonts w:ascii="Gotham" w:eastAsia="Gotham" w:hAnsi="Gotham" w:cs="Gotham"/>
                <w:sz w:val="22"/>
                <w:szCs w:val="22"/>
              </w:rPr>
            </w:pPr>
          </w:p>
          <w:p w14:paraId="393BB46C" w14:textId="77777777" w:rsidR="00FC28D5" w:rsidRDefault="00FC28D5">
            <w:pPr>
              <w:rPr>
                <w:rFonts w:ascii="Gotham" w:eastAsia="Gotham" w:hAnsi="Gotham" w:cs="Gotham"/>
                <w:sz w:val="22"/>
                <w:szCs w:val="22"/>
              </w:rPr>
            </w:pPr>
          </w:p>
          <w:p w14:paraId="42856355" w14:textId="77777777" w:rsidR="00FC28D5" w:rsidRDefault="00FC28D5">
            <w:pPr>
              <w:rPr>
                <w:rFonts w:ascii="Gotham" w:eastAsia="Gotham" w:hAnsi="Gotham" w:cs="Gotham"/>
                <w:sz w:val="22"/>
                <w:szCs w:val="22"/>
              </w:rPr>
            </w:pPr>
          </w:p>
          <w:p w14:paraId="12409464" w14:textId="77777777" w:rsidR="00FC28D5" w:rsidRDefault="00000000">
            <w:pPr>
              <w:rPr>
                <w:rFonts w:ascii="Gotham" w:eastAsia="Gotham" w:hAnsi="Gotham" w:cs="Gotham"/>
                <w:sz w:val="22"/>
                <w:szCs w:val="22"/>
              </w:rPr>
            </w:pPr>
            <w:r>
              <w:rPr>
                <w:rFonts w:ascii="Gotham" w:eastAsia="Gotham" w:hAnsi="Gotham" w:cs="Gotham"/>
                <w:sz w:val="22"/>
                <w:szCs w:val="22"/>
              </w:rPr>
              <w:t>Feedback</w:t>
            </w:r>
          </w:p>
        </w:tc>
        <w:tc>
          <w:tcPr>
            <w:tcW w:w="4703" w:type="dxa"/>
          </w:tcPr>
          <w:p w14:paraId="52897201"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11.(1) Every obligated organization that has processes for receiving and responding to feedback shall ensure that the processes are accessible to persons with disabilities by providing or arranging for the provision of accessible formats and communications supports, upon request.</w:t>
            </w:r>
          </w:p>
        </w:tc>
        <w:tc>
          <w:tcPr>
            <w:tcW w:w="2366" w:type="dxa"/>
          </w:tcPr>
          <w:p w14:paraId="7DE77A9C"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Feedback processes identified within policy in the Handbook. </w:t>
            </w:r>
          </w:p>
          <w:p w14:paraId="3457A23E"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0F7E9D6"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Identified in </w:t>
            </w:r>
            <w:hyperlink r:id="rId10">
              <w:r>
                <w:rPr>
                  <w:rFonts w:ascii="Gotham" w:eastAsia="Gotham" w:hAnsi="Gotham" w:cs="Gotham"/>
                  <w:color w:val="1155CC"/>
                  <w:sz w:val="22"/>
                  <w:szCs w:val="22"/>
                  <w:u w:val="single"/>
                </w:rPr>
                <w:t>Policy on the website</w:t>
              </w:r>
            </w:hyperlink>
            <w:r>
              <w:rPr>
                <w:rFonts w:ascii="Gotham" w:eastAsia="Gotham" w:hAnsi="Gotham" w:cs="Gotham"/>
                <w:sz w:val="22"/>
                <w:szCs w:val="22"/>
              </w:rPr>
              <w:t xml:space="preserve">. </w:t>
            </w:r>
            <w:hyperlink r:id="rId11" w:anchor="BK153">
              <w:r>
                <w:rPr>
                  <w:rFonts w:ascii="Gotham" w:eastAsia="Gotham" w:hAnsi="Gotham" w:cs="Gotham"/>
                  <w:color w:val="1155CC"/>
                  <w:sz w:val="22"/>
                  <w:szCs w:val="22"/>
                  <w:u w:val="single"/>
                </w:rPr>
                <w:t>AODA</w:t>
              </w:r>
            </w:hyperlink>
          </w:p>
          <w:p w14:paraId="61D26AE4"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c>
          <w:tcPr>
            <w:tcW w:w="1694" w:type="dxa"/>
          </w:tcPr>
          <w:p w14:paraId="605B96DA"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sz w:val="22"/>
                <w:szCs w:val="22"/>
              </w:rPr>
              <w:t xml:space="preserve">August 11, 2025 – Handbook Rollout </w:t>
            </w:r>
          </w:p>
          <w:p w14:paraId="34B703DC"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6C1BE084"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 31, 2025 – </w:t>
            </w:r>
            <w:hyperlink r:id="rId12">
              <w:r>
                <w:rPr>
                  <w:rFonts w:ascii="Gotham" w:eastAsia="Gotham" w:hAnsi="Gotham" w:cs="Gotham"/>
                  <w:color w:val="1155CC"/>
                  <w:sz w:val="22"/>
                  <w:szCs w:val="22"/>
                  <w:u w:val="single"/>
                </w:rPr>
                <w:t>Policy on the website</w:t>
              </w:r>
            </w:hyperlink>
            <w:r>
              <w:rPr>
                <w:rFonts w:ascii="Gotham" w:eastAsia="Gotham" w:hAnsi="Gotham" w:cs="Gotham"/>
                <w:sz w:val="22"/>
                <w:szCs w:val="22"/>
              </w:rPr>
              <w:t xml:space="preserve">, updated August 28, 2025 </w:t>
            </w:r>
          </w:p>
          <w:p w14:paraId="048120BE"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64B79629" w14:textId="77777777" w:rsidTr="00FC28D5">
        <w:tc>
          <w:tcPr>
            <w:cnfStyle w:val="001000000000" w:firstRow="0" w:lastRow="0" w:firstColumn="1" w:lastColumn="0" w:oddVBand="0" w:evenVBand="0" w:oddHBand="0" w:evenHBand="0" w:firstRowFirstColumn="0" w:firstRowLastColumn="0" w:lastRowFirstColumn="0" w:lastRowLastColumn="0"/>
            <w:tcW w:w="2053" w:type="dxa"/>
            <w:vMerge w:val="restart"/>
          </w:tcPr>
          <w:p w14:paraId="527FA91B" w14:textId="77777777" w:rsidR="00FC28D5" w:rsidRDefault="00FC28D5">
            <w:pPr>
              <w:rPr>
                <w:rFonts w:ascii="Gotham" w:eastAsia="Gotham" w:hAnsi="Gotham" w:cs="Gotham"/>
                <w:sz w:val="22"/>
                <w:szCs w:val="22"/>
              </w:rPr>
            </w:pPr>
          </w:p>
          <w:p w14:paraId="06874050" w14:textId="77777777" w:rsidR="00FC28D5" w:rsidRDefault="00FC28D5"/>
          <w:p w14:paraId="0DBAE5D4" w14:textId="77777777" w:rsidR="00FC28D5" w:rsidRDefault="00FC28D5"/>
          <w:p w14:paraId="560FA24C" w14:textId="77777777" w:rsidR="00FC28D5" w:rsidRDefault="00FC28D5"/>
          <w:p w14:paraId="30D224DD" w14:textId="77777777" w:rsidR="00FC28D5" w:rsidRDefault="00FC28D5"/>
          <w:p w14:paraId="08DCF14E" w14:textId="77777777" w:rsidR="00FC28D5" w:rsidRDefault="00FC28D5"/>
          <w:p w14:paraId="1F21E799" w14:textId="77777777" w:rsidR="00FC28D5" w:rsidRDefault="00FC28D5"/>
          <w:p w14:paraId="72BE9D23" w14:textId="77777777" w:rsidR="00FC28D5" w:rsidRDefault="00FC28D5"/>
          <w:p w14:paraId="159F4FA3" w14:textId="77777777" w:rsidR="00FC28D5" w:rsidRDefault="00000000">
            <w:pPr>
              <w:rPr>
                <w:rFonts w:ascii="Gotham" w:eastAsia="Gotham" w:hAnsi="Gotham" w:cs="Gotham"/>
                <w:sz w:val="22"/>
                <w:szCs w:val="22"/>
              </w:rPr>
            </w:pPr>
            <w:r>
              <w:rPr>
                <w:rFonts w:ascii="Gotham" w:eastAsia="Gotham" w:hAnsi="Gotham" w:cs="Gotham"/>
                <w:sz w:val="22"/>
                <w:szCs w:val="22"/>
              </w:rPr>
              <w:t>Accessible Formats &amp; Communication Supports</w:t>
            </w:r>
          </w:p>
        </w:tc>
        <w:tc>
          <w:tcPr>
            <w:tcW w:w="4703" w:type="dxa"/>
          </w:tcPr>
          <w:p w14:paraId="1BBEE6B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12.(1) Except as otherwise provided, every obligated organization shall upon request provide or arrange for the provision of accessible formats and communication supports for persons with disabilities,</w:t>
            </w:r>
          </w:p>
          <w:p w14:paraId="05A61E21"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  in a timely manner that takes into account the person’s accessibility needs due to disability; and</w:t>
            </w:r>
          </w:p>
          <w:p w14:paraId="50DE8013"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(b)  at a cost that is no more than the regular cost charged to other persons.</w:t>
            </w:r>
          </w:p>
        </w:tc>
        <w:tc>
          <w:tcPr>
            <w:tcW w:w="2366" w:type="dxa"/>
          </w:tcPr>
          <w:p w14:paraId="02E43990"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Identified within the handbook. </w:t>
            </w:r>
          </w:p>
          <w:p w14:paraId="088108EE"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59404E1B"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Identified in </w:t>
            </w:r>
            <w:hyperlink r:id="rId13">
              <w:r>
                <w:rPr>
                  <w:rFonts w:ascii="Gotham" w:eastAsia="Gotham" w:hAnsi="Gotham" w:cs="Gotham"/>
                  <w:color w:val="1155CC"/>
                  <w:sz w:val="22"/>
                  <w:szCs w:val="22"/>
                  <w:u w:val="single"/>
                </w:rPr>
                <w:t>Policy on the website</w:t>
              </w:r>
            </w:hyperlink>
            <w:r>
              <w:rPr>
                <w:rFonts w:ascii="Gotham" w:eastAsia="Gotham" w:hAnsi="Gotham" w:cs="Gotham"/>
                <w:sz w:val="22"/>
                <w:szCs w:val="22"/>
              </w:rPr>
              <w:t xml:space="preserve">. </w:t>
            </w:r>
            <w:hyperlink r:id="rId14" w:anchor="BK153">
              <w:r>
                <w:rPr>
                  <w:rFonts w:ascii="Gotham" w:eastAsia="Gotham" w:hAnsi="Gotham" w:cs="Gotham"/>
                  <w:color w:val="1155CC"/>
                  <w:sz w:val="22"/>
                  <w:szCs w:val="22"/>
                  <w:u w:val="single"/>
                </w:rPr>
                <w:t>AODA</w:t>
              </w:r>
            </w:hyperlink>
          </w:p>
          <w:p w14:paraId="130142C2"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326AD8AE"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48075AA2"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c>
          <w:tcPr>
            <w:tcW w:w="1694" w:type="dxa"/>
          </w:tcPr>
          <w:p w14:paraId="5D2CE75F" w14:textId="77777777" w:rsidR="00FC28D5" w:rsidRDefault="0000000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August 11, 2025 – Handbook Rollout </w:t>
            </w:r>
          </w:p>
          <w:p w14:paraId="1EB4FE48" w14:textId="77777777" w:rsidR="00FC28D5" w:rsidRDefault="00FC28D5">
            <w:pPr>
              <w:cnfStyle w:val="000000000000" w:firstRow="0" w:lastRow="0" w:firstColumn="0" w:lastColumn="0" w:oddVBand="0" w:evenVBand="0" w:oddHBand="0" w:evenHBand="0" w:firstRowFirstColumn="0" w:firstRowLastColumn="0" w:lastRowFirstColumn="0" w:lastRowLastColumn="0"/>
              <w:rPr>
                <w:sz w:val="22"/>
                <w:szCs w:val="22"/>
              </w:rPr>
            </w:pPr>
          </w:p>
          <w:p w14:paraId="208BD0AC"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 31, 2025 – </w:t>
            </w:r>
            <w:hyperlink r:id="rId15">
              <w:r>
                <w:rPr>
                  <w:rFonts w:ascii="Gotham" w:eastAsia="Gotham" w:hAnsi="Gotham" w:cs="Gotham"/>
                  <w:color w:val="1155CC"/>
                  <w:sz w:val="22"/>
                  <w:szCs w:val="22"/>
                  <w:u w:val="single"/>
                </w:rPr>
                <w:t>Policy on the website</w:t>
              </w:r>
            </w:hyperlink>
            <w:r>
              <w:rPr>
                <w:rFonts w:ascii="Gotham" w:eastAsia="Gotham" w:hAnsi="Gotham" w:cs="Gotham"/>
                <w:sz w:val="22"/>
                <w:szCs w:val="22"/>
              </w:rPr>
              <w:t>, updated August 28, 2025</w:t>
            </w:r>
          </w:p>
          <w:p w14:paraId="2ED11906" w14:textId="77777777" w:rsidR="00FC28D5" w:rsidRDefault="00FC28D5">
            <w:pPr>
              <w:cnfStyle w:val="000000000000" w:firstRow="0" w:lastRow="0" w:firstColumn="0" w:lastColumn="0" w:oddVBand="0" w:evenVBand="0" w:oddHBand="0" w:evenHBand="0" w:firstRowFirstColumn="0" w:firstRowLastColumn="0" w:lastRowFirstColumn="0" w:lastRowLastColumn="0"/>
              <w:rPr>
                <w:sz w:val="22"/>
                <w:szCs w:val="22"/>
              </w:rPr>
            </w:pPr>
          </w:p>
          <w:p w14:paraId="26B9BA0C"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3E23210C"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r w:rsidR="00FC28D5" w14:paraId="550C62D5"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vMerge/>
          </w:tcPr>
          <w:p w14:paraId="720883B3"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703" w:type="dxa"/>
            <w:shd w:val="clear" w:color="auto" w:fill="auto"/>
          </w:tcPr>
          <w:p w14:paraId="4BB15DF1"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6E6DC063"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The obligated organization shall consult with the person making the request in determining the suitability of an accessible format or communication support.</w:t>
            </w:r>
          </w:p>
        </w:tc>
        <w:tc>
          <w:tcPr>
            <w:tcW w:w="2366" w:type="dxa"/>
            <w:shd w:val="clear" w:color="auto" w:fill="auto"/>
          </w:tcPr>
          <w:p w14:paraId="037A8E01"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0FA66F65"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within the handbook.</w:t>
            </w:r>
          </w:p>
          <w:p w14:paraId="7F0C1D8D"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0ED69C57"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Identified in </w:t>
            </w:r>
            <w:hyperlink r:id="rId16">
              <w:r>
                <w:rPr>
                  <w:rFonts w:ascii="Gotham" w:eastAsia="Gotham" w:hAnsi="Gotham" w:cs="Gotham"/>
                  <w:color w:val="1155CC"/>
                  <w:sz w:val="22"/>
                  <w:szCs w:val="22"/>
                  <w:u w:val="single"/>
                </w:rPr>
                <w:t>Policy on the website</w:t>
              </w:r>
            </w:hyperlink>
            <w:r>
              <w:rPr>
                <w:rFonts w:ascii="Gotham" w:eastAsia="Gotham" w:hAnsi="Gotham" w:cs="Gotham"/>
                <w:sz w:val="22"/>
                <w:szCs w:val="22"/>
              </w:rPr>
              <w:t xml:space="preserve">. </w:t>
            </w:r>
            <w:hyperlink r:id="rId17" w:anchor="BK153">
              <w:r>
                <w:rPr>
                  <w:rFonts w:ascii="Gotham" w:eastAsia="Gotham" w:hAnsi="Gotham" w:cs="Gotham"/>
                  <w:color w:val="1155CC"/>
                  <w:sz w:val="22"/>
                  <w:szCs w:val="22"/>
                  <w:u w:val="single"/>
                </w:rPr>
                <w:t>AODA</w:t>
              </w:r>
            </w:hyperlink>
          </w:p>
          <w:p w14:paraId="5A3881A8"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c>
          <w:tcPr>
            <w:tcW w:w="1694" w:type="dxa"/>
            <w:shd w:val="clear" w:color="auto" w:fill="auto"/>
          </w:tcPr>
          <w:p w14:paraId="44D2F1E2"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sz w:val="22"/>
                <w:szCs w:val="22"/>
              </w:rPr>
              <w:t xml:space="preserve">August 11, 2025 – Handbook Rollout </w:t>
            </w:r>
          </w:p>
          <w:p w14:paraId="6B963B7F"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7D757384"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 31, 2025 – </w:t>
            </w:r>
            <w:hyperlink r:id="rId18">
              <w:r>
                <w:rPr>
                  <w:rFonts w:ascii="Gotham" w:eastAsia="Gotham" w:hAnsi="Gotham" w:cs="Gotham"/>
                  <w:color w:val="1155CC"/>
                  <w:sz w:val="22"/>
                  <w:szCs w:val="22"/>
                  <w:u w:val="single"/>
                </w:rPr>
                <w:t>Policy on the website</w:t>
              </w:r>
            </w:hyperlink>
            <w:r>
              <w:rPr>
                <w:rFonts w:ascii="Gotham" w:eastAsia="Gotham" w:hAnsi="Gotham" w:cs="Gotham"/>
                <w:sz w:val="22"/>
                <w:szCs w:val="22"/>
              </w:rPr>
              <w:t>, updated August 28, 2025</w:t>
            </w:r>
          </w:p>
          <w:p w14:paraId="1DDD7CE0"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532DA05F" w14:textId="77777777" w:rsidTr="00FC28D5">
        <w:tc>
          <w:tcPr>
            <w:cnfStyle w:val="001000000000" w:firstRow="0" w:lastRow="0" w:firstColumn="1" w:lastColumn="0" w:oddVBand="0" w:evenVBand="0" w:oddHBand="0" w:evenHBand="0" w:firstRowFirstColumn="0" w:firstRowLastColumn="0" w:lastRowFirstColumn="0" w:lastRowLastColumn="0"/>
            <w:tcW w:w="2053" w:type="dxa"/>
            <w:vMerge/>
          </w:tcPr>
          <w:p w14:paraId="57386DD4"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703" w:type="dxa"/>
          </w:tcPr>
          <w:p w14:paraId="2ADA3FCC"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 Every obligated organization shall notify the public about the availability of accessible formats and communication supports.</w:t>
            </w:r>
          </w:p>
        </w:tc>
        <w:tc>
          <w:tcPr>
            <w:tcW w:w="2366" w:type="dxa"/>
          </w:tcPr>
          <w:p w14:paraId="11CE5086"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Identified in </w:t>
            </w:r>
            <w:hyperlink r:id="rId19">
              <w:r>
                <w:rPr>
                  <w:rFonts w:ascii="Gotham" w:eastAsia="Gotham" w:hAnsi="Gotham" w:cs="Gotham"/>
                  <w:color w:val="1155CC"/>
                  <w:sz w:val="22"/>
                  <w:szCs w:val="22"/>
                  <w:u w:val="single"/>
                </w:rPr>
                <w:t>Policy on the website</w:t>
              </w:r>
            </w:hyperlink>
            <w:r>
              <w:rPr>
                <w:rFonts w:ascii="Gotham" w:eastAsia="Gotham" w:hAnsi="Gotham" w:cs="Gotham"/>
                <w:sz w:val="22"/>
                <w:szCs w:val="22"/>
              </w:rPr>
              <w:t xml:space="preserve">. </w:t>
            </w:r>
            <w:hyperlink r:id="rId20" w:anchor="BK153">
              <w:r>
                <w:rPr>
                  <w:rFonts w:ascii="Gotham" w:eastAsia="Gotham" w:hAnsi="Gotham" w:cs="Gotham"/>
                  <w:color w:val="1155CC"/>
                  <w:sz w:val="22"/>
                  <w:szCs w:val="22"/>
                  <w:u w:val="single"/>
                </w:rPr>
                <w:t>AODA</w:t>
              </w:r>
            </w:hyperlink>
          </w:p>
        </w:tc>
        <w:tc>
          <w:tcPr>
            <w:tcW w:w="1694" w:type="dxa"/>
          </w:tcPr>
          <w:p w14:paraId="32F3EF3C"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 31, 2025 – </w:t>
            </w:r>
            <w:hyperlink r:id="rId21">
              <w:r>
                <w:rPr>
                  <w:rFonts w:ascii="Gotham" w:eastAsia="Gotham" w:hAnsi="Gotham" w:cs="Gotham"/>
                  <w:color w:val="1155CC"/>
                  <w:sz w:val="22"/>
                  <w:szCs w:val="22"/>
                  <w:u w:val="single"/>
                </w:rPr>
                <w:t>Policy on the website</w:t>
              </w:r>
            </w:hyperlink>
            <w:r>
              <w:rPr>
                <w:rFonts w:ascii="Gotham" w:eastAsia="Gotham" w:hAnsi="Gotham" w:cs="Gotham"/>
                <w:sz w:val="22"/>
                <w:szCs w:val="22"/>
              </w:rPr>
              <w:t>, updated August 28, 2025</w:t>
            </w:r>
          </w:p>
        </w:tc>
      </w:tr>
      <w:tr w:rsidR="00FC28D5" w14:paraId="156BE0D1"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14:paraId="186E329B" w14:textId="77777777" w:rsidR="00FC28D5" w:rsidRDefault="00FC28D5">
            <w:pPr>
              <w:rPr>
                <w:rFonts w:ascii="Gotham" w:eastAsia="Gotham" w:hAnsi="Gotham" w:cs="Gotham"/>
                <w:sz w:val="22"/>
                <w:szCs w:val="22"/>
              </w:rPr>
            </w:pPr>
          </w:p>
          <w:p w14:paraId="569832D5" w14:textId="77777777" w:rsidR="00FC28D5" w:rsidRDefault="00FC28D5">
            <w:pPr>
              <w:rPr>
                <w:rFonts w:ascii="Gotham" w:eastAsia="Gotham" w:hAnsi="Gotham" w:cs="Gotham"/>
                <w:sz w:val="22"/>
                <w:szCs w:val="22"/>
              </w:rPr>
            </w:pPr>
          </w:p>
          <w:p w14:paraId="27E2FD02" w14:textId="77777777" w:rsidR="00FC28D5" w:rsidRDefault="00FC28D5">
            <w:pPr>
              <w:rPr>
                <w:rFonts w:ascii="Gotham" w:eastAsia="Gotham" w:hAnsi="Gotham" w:cs="Gotham"/>
                <w:sz w:val="22"/>
                <w:szCs w:val="22"/>
              </w:rPr>
            </w:pPr>
          </w:p>
          <w:p w14:paraId="4A10F138" w14:textId="77777777" w:rsidR="00FC28D5" w:rsidRDefault="00FC28D5">
            <w:pPr>
              <w:rPr>
                <w:rFonts w:ascii="Gotham" w:eastAsia="Gotham" w:hAnsi="Gotham" w:cs="Gotham"/>
                <w:sz w:val="22"/>
                <w:szCs w:val="22"/>
              </w:rPr>
            </w:pPr>
          </w:p>
          <w:p w14:paraId="0702D3BA" w14:textId="77777777" w:rsidR="00FC28D5" w:rsidRDefault="00000000">
            <w:pPr>
              <w:rPr>
                <w:rFonts w:ascii="Gotham" w:eastAsia="Gotham" w:hAnsi="Gotham" w:cs="Gotham"/>
                <w:sz w:val="22"/>
                <w:szCs w:val="22"/>
              </w:rPr>
            </w:pPr>
            <w:r>
              <w:rPr>
                <w:rFonts w:ascii="Gotham" w:eastAsia="Gotham" w:hAnsi="Gotham" w:cs="Gotham"/>
                <w:sz w:val="22"/>
                <w:szCs w:val="22"/>
              </w:rPr>
              <w:t>Emergency Procedures, Plans or Public Safety Info</w:t>
            </w:r>
          </w:p>
        </w:tc>
        <w:tc>
          <w:tcPr>
            <w:tcW w:w="4703" w:type="dxa"/>
          </w:tcPr>
          <w:p w14:paraId="12814D02"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13.(1) In addition to its obligations under section 12, if an obligated organization prepares emergency procedures, plans or public safety information and makes the information available to the public, the obligated organization shall provide the information in an accessible format or with appropriate communication supports, as soon as practicable, upon request.</w:t>
            </w:r>
          </w:p>
        </w:tc>
        <w:tc>
          <w:tcPr>
            <w:tcW w:w="2366" w:type="dxa"/>
          </w:tcPr>
          <w:p w14:paraId="0573EF51"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within the handbook policy &amp; health &amp; safety program.</w:t>
            </w:r>
          </w:p>
          <w:p w14:paraId="4BB0A2A2"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525C0122"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c>
          <w:tcPr>
            <w:tcW w:w="1694" w:type="dxa"/>
          </w:tcPr>
          <w:p w14:paraId="2EA45EDA" w14:textId="77777777" w:rsidR="00FC28D5" w:rsidRDefault="00000000">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August 11, 2025 – Handbook Rollout </w:t>
            </w:r>
          </w:p>
          <w:p w14:paraId="72D7A171" w14:textId="77777777" w:rsidR="00FC28D5" w:rsidRDefault="00FC28D5">
            <w:pPr>
              <w:cnfStyle w:val="000000100000" w:firstRow="0" w:lastRow="0" w:firstColumn="0" w:lastColumn="0" w:oddVBand="0" w:evenVBand="0" w:oddHBand="1" w:evenHBand="0" w:firstRowFirstColumn="0" w:firstRowLastColumn="0" w:lastRowFirstColumn="0" w:lastRowLastColumn="0"/>
              <w:rPr>
                <w:sz w:val="22"/>
                <w:szCs w:val="22"/>
              </w:rPr>
            </w:pPr>
          </w:p>
          <w:p w14:paraId="55595A7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sz w:val="22"/>
                <w:szCs w:val="22"/>
              </w:rPr>
              <w:t xml:space="preserve">H&amp;S program rollout TBD. </w:t>
            </w:r>
          </w:p>
          <w:p w14:paraId="5FF189EF"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504580D2"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111D7BBF" w14:textId="77777777" w:rsidTr="00FC28D5">
        <w:tc>
          <w:tcPr>
            <w:cnfStyle w:val="001000000000" w:firstRow="0" w:lastRow="0" w:firstColumn="1" w:lastColumn="0" w:oddVBand="0" w:evenVBand="0" w:oddHBand="0" w:evenHBand="0" w:firstRowFirstColumn="0" w:firstRowLastColumn="0" w:lastRowFirstColumn="0" w:lastRowLastColumn="0"/>
            <w:tcW w:w="2053" w:type="dxa"/>
          </w:tcPr>
          <w:p w14:paraId="669C744F" w14:textId="77777777" w:rsidR="00FC28D5" w:rsidRDefault="00000000">
            <w:pPr>
              <w:rPr>
                <w:rFonts w:ascii="Gotham" w:eastAsia="Gotham" w:hAnsi="Gotham" w:cs="Gotham"/>
                <w:sz w:val="22"/>
                <w:szCs w:val="22"/>
              </w:rPr>
            </w:pPr>
            <w:r>
              <w:rPr>
                <w:rFonts w:ascii="Gotham" w:eastAsia="Gotham" w:hAnsi="Gotham" w:cs="Gotham"/>
                <w:sz w:val="22"/>
                <w:szCs w:val="22"/>
              </w:rPr>
              <w:t>Accessible Websites &amp; Web Content</w:t>
            </w:r>
          </w:p>
        </w:tc>
        <w:tc>
          <w:tcPr>
            <w:tcW w:w="4703" w:type="dxa"/>
          </w:tcPr>
          <w:p w14:paraId="1B26F85B"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14.(2) Designated public sector organizations and large organizations shall make their internet websites and web content conform with the World Wide Web Consortium Web Content Accessibility Guidelines (WCAG) 2.0, initially at Level A and increasing to Level AA, and shall do so in accordance with the schedule set out in this section.</w:t>
            </w:r>
          </w:p>
        </w:tc>
        <w:tc>
          <w:tcPr>
            <w:tcW w:w="2366" w:type="dxa"/>
          </w:tcPr>
          <w:p w14:paraId="411285FD"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LZB's website meets WCAG 2.1 AA requirements</w:t>
            </w:r>
          </w:p>
        </w:tc>
        <w:tc>
          <w:tcPr>
            <w:tcW w:w="1694" w:type="dxa"/>
          </w:tcPr>
          <w:p w14:paraId="7EAB06F5"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Jul 26, 2025</w:t>
            </w:r>
          </w:p>
          <w:p w14:paraId="0236F339"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bl>
    <w:p w14:paraId="3320FE0B" w14:textId="77777777" w:rsidR="00FC28D5" w:rsidRDefault="00FC28D5">
      <w:pPr>
        <w:keepNext/>
        <w:keepLines/>
        <w:pBdr>
          <w:top w:val="nil"/>
          <w:left w:val="nil"/>
          <w:bottom w:val="nil"/>
          <w:right w:val="nil"/>
          <w:between w:val="nil"/>
        </w:pBdr>
        <w:spacing w:after="0"/>
        <w:jc w:val="both"/>
        <w:rPr>
          <w:rFonts w:ascii="Gotham" w:eastAsia="Gotham" w:hAnsi="Gotham" w:cs="Gotham"/>
          <w:color w:val="000000"/>
          <w:sz w:val="22"/>
          <w:szCs w:val="22"/>
        </w:rPr>
      </w:pPr>
    </w:p>
    <w:p w14:paraId="13BECA8F" w14:textId="77777777" w:rsidR="00FC28D5" w:rsidRDefault="00000000">
      <w:pPr>
        <w:pStyle w:val="Heading3"/>
        <w:rPr>
          <w:color w:val="000000"/>
        </w:rPr>
      </w:pPr>
      <w:r>
        <w:t>PART III – Employment Standard</w:t>
      </w:r>
    </w:p>
    <w:tbl>
      <w:tblPr>
        <w:tblStyle w:val="ab"/>
        <w:tblW w:w="108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41"/>
        <w:gridCol w:w="4974"/>
        <w:gridCol w:w="2304"/>
        <w:gridCol w:w="1511"/>
      </w:tblGrid>
      <w:tr w:rsidR="00FC28D5" w14:paraId="5CE0BB3A" w14:textId="77777777" w:rsidTr="00FC28D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41" w:type="dxa"/>
          </w:tcPr>
          <w:p w14:paraId="196D8C45" w14:textId="77777777" w:rsidR="00FC28D5" w:rsidRDefault="00000000">
            <w:pPr>
              <w:jc w:val="center"/>
              <w:rPr>
                <w:rFonts w:ascii="Gotham" w:eastAsia="Gotham" w:hAnsi="Gotham" w:cs="Gotham"/>
                <w:sz w:val="22"/>
                <w:szCs w:val="22"/>
              </w:rPr>
            </w:pPr>
            <w:r>
              <w:rPr>
                <w:rFonts w:ascii="Gotham" w:eastAsia="Gotham" w:hAnsi="Gotham" w:cs="Gotham"/>
                <w:b w:val="0"/>
                <w:sz w:val="22"/>
                <w:szCs w:val="22"/>
              </w:rPr>
              <w:t>Initiative</w:t>
            </w:r>
          </w:p>
        </w:tc>
        <w:tc>
          <w:tcPr>
            <w:tcW w:w="4974" w:type="dxa"/>
          </w:tcPr>
          <w:p w14:paraId="1AAAEF03"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Description</w:t>
            </w:r>
          </w:p>
        </w:tc>
        <w:tc>
          <w:tcPr>
            <w:tcW w:w="2304" w:type="dxa"/>
          </w:tcPr>
          <w:p w14:paraId="2AA0058E"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Action</w:t>
            </w:r>
          </w:p>
        </w:tc>
        <w:tc>
          <w:tcPr>
            <w:tcW w:w="1511" w:type="dxa"/>
          </w:tcPr>
          <w:p w14:paraId="5801ECA8"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Compliance Date - AODA</w:t>
            </w:r>
          </w:p>
        </w:tc>
      </w:tr>
      <w:tr w:rsidR="00FC28D5" w14:paraId="2EF5E59D"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347B83E0" w14:textId="77777777" w:rsidR="00FC28D5" w:rsidRDefault="00FC28D5">
            <w:pPr>
              <w:rPr>
                <w:rFonts w:ascii="Gotham" w:eastAsia="Gotham" w:hAnsi="Gotham" w:cs="Gotham"/>
                <w:sz w:val="22"/>
                <w:szCs w:val="22"/>
              </w:rPr>
            </w:pPr>
          </w:p>
          <w:p w14:paraId="017F001F" w14:textId="77777777" w:rsidR="00FC28D5" w:rsidRDefault="00FC28D5">
            <w:pPr>
              <w:rPr>
                <w:rFonts w:ascii="Gotham" w:eastAsia="Gotham" w:hAnsi="Gotham" w:cs="Gotham"/>
                <w:sz w:val="22"/>
                <w:szCs w:val="22"/>
              </w:rPr>
            </w:pPr>
          </w:p>
          <w:p w14:paraId="00344D47" w14:textId="77777777" w:rsidR="00FC28D5" w:rsidRDefault="00000000">
            <w:pPr>
              <w:rPr>
                <w:rFonts w:ascii="Gotham" w:eastAsia="Gotham" w:hAnsi="Gotham" w:cs="Gotham"/>
                <w:sz w:val="22"/>
                <w:szCs w:val="22"/>
              </w:rPr>
            </w:pPr>
            <w:r>
              <w:rPr>
                <w:rFonts w:ascii="Gotham" w:eastAsia="Gotham" w:hAnsi="Gotham" w:cs="Gotham"/>
                <w:sz w:val="22"/>
                <w:szCs w:val="22"/>
              </w:rPr>
              <w:t>Recruitment – General</w:t>
            </w:r>
          </w:p>
        </w:tc>
        <w:tc>
          <w:tcPr>
            <w:tcW w:w="4974" w:type="dxa"/>
          </w:tcPr>
          <w:p w14:paraId="7185501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22. Every employer shall notify its employees and the public about the availability of accommodation for applicants with disabilities in its recruitment processes.</w:t>
            </w:r>
          </w:p>
        </w:tc>
        <w:tc>
          <w:tcPr>
            <w:tcW w:w="2304" w:type="dxa"/>
          </w:tcPr>
          <w:p w14:paraId="225F8480"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job postings for all employees and applicants (indeed, LinkedIn, company site)</w:t>
            </w:r>
          </w:p>
        </w:tc>
        <w:tc>
          <w:tcPr>
            <w:tcW w:w="1511" w:type="dxa"/>
          </w:tcPr>
          <w:p w14:paraId="456AD839"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April 10, 2025</w:t>
            </w:r>
          </w:p>
        </w:tc>
      </w:tr>
      <w:tr w:rsidR="00FC28D5" w14:paraId="337AA13A" w14:textId="77777777" w:rsidTr="00FC28D5">
        <w:tc>
          <w:tcPr>
            <w:cnfStyle w:val="001000000000" w:firstRow="0" w:lastRow="0" w:firstColumn="1" w:lastColumn="0" w:oddVBand="0" w:evenVBand="0" w:oddHBand="0" w:evenHBand="0" w:firstRowFirstColumn="0" w:firstRowLastColumn="0" w:lastRowFirstColumn="0" w:lastRowLastColumn="0"/>
            <w:tcW w:w="2041" w:type="dxa"/>
          </w:tcPr>
          <w:p w14:paraId="2A7688E2" w14:textId="77777777" w:rsidR="00FC28D5" w:rsidRDefault="00FC28D5">
            <w:pPr>
              <w:rPr>
                <w:rFonts w:ascii="Gotham" w:eastAsia="Gotham" w:hAnsi="Gotham" w:cs="Gotham"/>
                <w:sz w:val="22"/>
                <w:szCs w:val="22"/>
              </w:rPr>
            </w:pPr>
          </w:p>
          <w:p w14:paraId="206E1F91" w14:textId="77777777" w:rsidR="00FC28D5" w:rsidRDefault="00FC28D5">
            <w:pPr>
              <w:rPr>
                <w:rFonts w:ascii="Gotham" w:eastAsia="Gotham" w:hAnsi="Gotham" w:cs="Gotham"/>
                <w:sz w:val="22"/>
                <w:szCs w:val="22"/>
              </w:rPr>
            </w:pPr>
          </w:p>
          <w:p w14:paraId="3BBDD2DF" w14:textId="77777777" w:rsidR="00FC28D5" w:rsidRDefault="00FC28D5">
            <w:pPr>
              <w:rPr>
                <w:rFonts w:ascii="Gotham" w:eastAsia="Gotham" w:hAnsi="Gotham" w:cs="Gotham"/>
                <w:sz w:val="22"/>
                <w:szCs w:val="22"/>
              </w:rPr>
            </w:pPr>
          </w:p>
          <w:p w14:paraId="7C4F7CA4" w14:textId="77777777" w:rsidR="00FC28D5" w:rsidRDefault="00FC28D5">
            <w:pPr>
              <w:rPr>
                <w:rFonts w:ascii="Gotham" w:eastAsia="Gotham" w:hAnsi="Gotham" w:cs="Gotham"/>
                <w:sz w:val="22"/>
                <w:szCs w:val="22"/>
              </w:rPr>
            </w:pPr>
          </w:p>
          <w:p w14:paraId="106D924C" w14:textId="77777777" w:rsidR="00FC28D5" w:rsidRDefault="00FC28D5">
            <w:pPr>
              <w:rPr>
                <w:rFonts w:ascii="Gotham" w:eastAsia="Gotham" w:hAnsi="Gotham" w:cs="Gotham"/>
                <w:sz w:val="22"/>
                <w:szCs w:val="22"/>
              </w:rPr>
            </w:pPr>
          </w:p>
          <w:p w14:paraId="569224AE" w14:textId="77777777" w:rsidR="00FC28D5" w:rsidRDefault="00FC28D5">
            <w:pPr>
              <w:rPr>
                <w:rFonts w:ascii="Gotham" w:eastAsia="Gotham" w:hAnsi="Gotham" w:cs="Gotham"/>
                <w:sz w:val="22"/>
                <w:szCs w:val="22"/>
              </w:rPr>
            </w:pPr>
          </w:p>
          <w:p w14:paraId="3F961475" w14:textId="77777777" w:rsidR="00FC28D5" w:rsidRDefault="00000000">
            <w:pPr>
              <w:rPr>
                <w:rFonts w:ascii="Gotham" w:eastAsia="Gotham" w:hAnsi="Gotham" w:cs="Gotham"/>
                <w:sz w:val="22"/>
                <w:szCs w:val="22"/>
              </w:rPr>
            </w:pPr>
            <w:r>
              <w:rPr>
                <w:rFonts w:ascii="Gotham" w:eastAsia="Gotham" w:hAnsi="Gotham" w:cs="Gotham"/>
                <w:sz w:val="22"/>
                <w:szCs w:val="22"/>
              </w:rPr>
              <w:t>Recruitment, Assessment or Selection Process</w:t>
            </w:r>
          </w:p>
        </w:tc>
        <w:tc>
          <w:tcPr>
            <w:tcW w:w="4974" w:type="dxa"/>
          </w:tcPr>
          <w:p w14:paraId="7B9B9FE5"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23.(1) During a recruitment process, an employer shall notify job applicants, when they are individually selected to participate in an assessment or selection process, that accommodations are available upon request in relation to the materials or processes to be used.</w:t>
            </w:r>
            <w:r>
              <w:rPr>
                <w:rFonts w:ascii="Gotham" w:eastAsia="Gotham" w:hAnsi="Gotham" w:cs="Gotham"/>
                <w:sz w:val="22"/>
                <w:szCs w:val="22"/>
              </w:rPr>
              <w:br/>
              <w:t xml:space="preserve">(2) If a selected applicant requests an accommodation, the employer shall consult with the applicant and provide or arrange for the provision of a suitable accommodation in a manner that takes into account the applicant’s accessibility needs due to disability. </w:t>
            </w:r>
          </w:p>
        </w:tc>
        <w:tc>
          <w:tcPr>
            <w:tcW w:w="2304" w:type="dxa"/>
          </w:tcPr>
          <w:p w14:paraId="1C521AC4"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job postings for all employees and applicants (indeed, LinkedIn, company site)</w:t>
            </w:r>
          </w:p>
          <w:p w14:paraId="14D98D60"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791149E1"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Identified in handbook and manager training </w:t>
            </w:r>
          </w:p>
        </w:tc>
        <w:tc>
          <w:tcPr>
            <w:tcW w:w="1511" w:type="dxa"/>
          </w:tcPr>
          <w:p w14:paraId="274C2ACF" w14:textId="77777777" w:rsidR="00FC28D5" w:rsidRDefault="0000000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April 10, 2025 </w:t>
            </w:r>
          </w:p>
          <w:p w14:paraId="30131A99" w14:textId="77777777" w:rsidR="00FC28D5" w:rsidRDefault="00FC28D5">
            <w:pPr>
              <w:cnfStyle w:val="000000000000" w:firstRow="0" w:lastRow="0" w:firstColumn="0" w:lastColumn="0" w:oddVBand="0" w:evenVBand="0" w:oddHBand="0" w:evenHBand="0" w:firstRowFirstColumn="0" w:firstRowLastColumn="0" w:lastRowFirstColumn="0" w:lastRowLastColumn="0"/>
              <w:rPr>
                <w:sz w:val="22"/>
                <w:szCs w:val="22"/>
              </w:rPr>
            </w:pPr>
          </w:p>
          <w:p w14:paraId="67F0196D" w14:textId="77777777" w:rsidR="00FC28D5" w:rsidRDefault="0000000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August 11, 2025 – Handbook Rollout </w:t>
            </w:r>
          </w:p>
          <w:p w14:paraId="010C4D22" w14:textId="77777777" w:rsidR="00FC28D5" w:rsidRDefault="00FC28D5">
            <w:pPr>
              <w:cnfStyle w:val="000000000000" w:firstRow="0" w:lastRow="0" w:firstColumn="0" w:lastColumn="0" w:oddVBand="0" w:evenVBand="0" w:oddHBand="0" w:evenHBand="0" w:firstRowFirstColumn="0" w:firstRowLastColumn="0" w:lastRowFirstColumn="0" w:lastRowLastColumn="0"/>
              <w:rPr>
                <w:sz w:val="22"/>
                <w:szCs w:val="22"/>
              </w:rPr>
            </w:pPr>
          </w:p>
          <w:p w14:paraId="4FF7BF5B"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sz w:val="22"/>
                <w:szCs w:val="22"/>
              </w:rPr>
              <w:t>Date TBD – manager training/recruitment program Rollout</w:t>
            </w:r>
          </w:p>
          <w:p w14:paraId="6E74F420"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17C674C6"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r w:rsidR="00FC28D5" w14:paraId="621D2473"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02880AFC" w14:textId="77777777" w:rsidR="00FC28D5" w:rsidRDefault="00FC28D5">
            <w:pPr>
              <w:rPr>
                <w:rFonts w:ascii="Gotham" w:eastAsia="Gotham" w:hAnsi="Gotham" w:cs="Gotham"/>
                <w:sz w:val="22"/>
                <w:szCs w:val="22"/>
              </w:rPr>
            </w:pPr>
          </w:p>
          <w:p w14:paraId="381A2204" w14:textId="77777777" w:rsidR="00FC28D5" w:rsidRDefault="00FC28D5">
            <w:pPr>
              <w:rPr>
                <w:rFonts w:ascii="Gotham" w:eastAsia="Gotham" w:hAnsi="Gotham" w:cs="Gotham"/>
                <w:sz w:val="22"/>
                <w:szCs w:val="22"/>
              </w:rPr>
            </w:pPr>
          </w:p>
          <w:p w14:paraId="5D97BD55" w14:textId="77777777" w:rsidR="00FC28D5" w:rsidRDefault="00000000">
            <w:pPr>
              <w:rPr>
                <w:rFonts w:ascii="Gotham" w:eastAsia="Gotham" w:hAnsi="Gotham" w:cs="Gotham"/>
                <w:sz w:val="22"/>
                <w:szCs w:val="22"/>
              </w:rPr>
            </w:pPr>
            <w:r>
              <w:rPr>
                <w:rFonts w:ascii="Gotham" w:eastAsia="Gotham" w:hAnsi="Gotham" w:cs="Gotham"/>
                <w:sz w:val="22"/>
                <w:szCs w:val="22"/>
              </w:rPr>
              <w:t>Notice to Successful Applicants</w:t>
            </w:r>
          </w:p>
        </w:tc>
        <w:tc>
          <w:tcPr>
            <w:tcW w:w="4974" w:type="dxa"/>
          </w:tcPr>
          <w:p w14:paraId="21475A78"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24. Every employer shall, when making offers of employment, notify the successful applicant of its policies for accommodating employees with disabilities.</w:t>
            </w:r>
          </w:p>
        </w:tc>
        <w:tc>
          <w:tcPr>
            <w:tcW w:w="2304" w:type="dxa"/>
          </w:tcPr>
          <w:p w14:paraId="49667959"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job postings, offer letter &amp; onboarding process</w:t>
            </w:r>
          </w:p>
          <w:p w14:paraId="7B4A174E"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646D1294"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within the handbook</w:t>
            </w:r>
          </w:p>
        </w:tc>
        <w:tc>
          <w:tcPr>
            <w:tcW w:w="1511" w:type="dxa"/>
          </w:tcPr>
          <w:p w14:paraId="476EB2B9" w14:textId="77777777" w:rsidR="00FC28D5" w:rsidRDefault="00000000">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br/>
              <w:t>April 10, 2025</w:t>
            </w:r>
          </w:p>
          <w:p w14:paraId="7CCB3FD1" w14:textId="77777777" w:rsidR="00FC28D5" w:rsidRDefault="00FC28D5">
            <w:pPr>
              <w:cnfStyle w:val="000000100000" w:firstRow="0" w:lastRow="0" w:firstColumn="0" w:lastColumn="0" w:oddVBand="0" w:evenVBand="0" w:oddHBand="1" w:evenHBand="0" w:firstRowFirstColumn="0" w:firstRowLastColumn="0" w:lastRowFirstColumn="0" w:lastRowLastColumn="0"/>
              <w:rPr>
                <w:sz w:val="22"/>
                <w:szCs w:val="22"/>
              </w:rPr>
            </w:pPr>
          </w:p>
          <w:p w14:paraId="1C5C2240"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sz w:val="22"/>
                <w:szCs w:val="22"/>
              </w:rPr>
              <w:t xml:space="preserve">August 11, 2025 – Handbook Rollout </w:t>
            </w:r>
          </w:p>
          <w:p w14:paraId="159AA554"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68C54435"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72D68409"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A9444DB"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15225B81"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789093DD" w14:textId="77777777" w:rsidTr="00FC28D5">
        <w:tc>
          <w:tcPr>
            <w:cnfStyle w:val="001000000000" w:firstRow="0" w:lastRow="0" w:firstColumn="1" w:lastColumn="0" w:oddVBand="0" w:evenVBand="0" w:oddHBand="0" w:evenHBand="0" w:firstRowFirstColumn="0" w:firstRowLastColumn="0" w:lastRowFirstColumn="0" w:lastRowLastColumn="0"/>
            <w:tcW w:w="2041" w:type="dxa"/>
            <w:vMerge w:val="restart"/>
          </w:tcPr>
          <w:p w14:paraId="130C3FA6" w14:textId="77777777" w:rsidR="00FC28D5" w:rsidRDefault="00FC28D5">
            <w:pPr>
              <w:rPr>
                <w:rFonts w:ascii="Gotham" w:eastAsia="Gotham" w:hAnsi="Gotham" w:cs="Gotham"/>
                <w:sz w:val="22"/>
                <w:szCs w:val="22"/>
              </w:rPr>
            </w:pPr>
          </w:p>
          <w:p w14:paraId="57F27E0C" w14:textId="77777777" w:rsidR="00FC28D5" w:rsidRDefault="00FC28D5">
            <w:pPr>
              <w:rPr>
                <w:rFonts w:ascii="Gotham" w:eastAsia="Gotham" w:hAnsi="Gotham" w:cs="Gotham"/>
                <w:sz w:val="22"/>
                <w:szCs w:val="22"/>
              </w:rPr>
            </w:pPr>
          </w:p>
          <w:p w14:paraId="0CDA7BC9" w14:textId="77777777" w:rsidR="00FC28D5" w:rsidRDefault="00FC28D5">
            <w:pPr>
              <w:rPr>
                <w:rFonts w:ascii="Gotham" w:eastAsia="Gotham" w:hAnsi="Gotham" w:cs="Gotham"/>
                <w:sz w:val="22"/>
                <w:szCs w:val="22"/>
              </w:rPr>
            </w:pPr>
          </w:p>
          <w:p w14:paraId="34CB974D" w14:textId="77777777" w:rsidR="00FC28D5" w:rsidRDefault="00FC28D5">
            <w:pPr>
              <w:rPr>
                <w:rFonts w:ascii="Gotham" w:eastAsia="Gotham" w:hAnsi="Gotham" w:cs="Gotham"/>
                <w:sz w:val="22"/>
                <w:szCs w:val="22"/>
              </w:rPr>
            </w:pPr>
          </w:p>
          <w:p w14:paraId="0178312E" w14:textId="77777777" w:rsidR="00FC28D5" w:rsidRDefault="00000000">
            <w:pPr>
              <w:rPr>
                <w:rFonts w:ascii="Gotham" w:eastAsia="Gotham" w:hAnsi="Gotham" w:cs="Gotham"/>
                <w:sz w:val="22"/>
                <w:szCs w:val="22"/>
              </w:rPr>
            </w:pPr>
            <w:r>
              <w:rPr>
                <w:rFonts w:ascii="Gotham" w:eastAsia="Gotham" w:hAnsi="Gotham" w:cs="Gotham"/>
                <w:sz w:val="22"/>
                <w:szCs w:val="22"/>
              </w:rPr>
              <w:t>Informing Employees of Supports</w:t>
            </w:r>
          </w:p>
        </w:tc>
        <w:tc>
          <w:tcPr>
            <w:tcW w:w="4974" w:type="dxa"/>
          </w:tcPr>
          <w:p w14:paraId="7B035AC5"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25.</w:t>
            </w:r>
            <w:r>
              <w:t xml:space="preserve"> </w:t>
            </w:r>
            <w:r>
              <w:rPr>
                <w:rFonts w:ascii="Gotham" w:eastAsia="Gotham" w:hAnsi="Gotham" w:cs="Gotham"/>
                <w:sz w:val="22"/>
                <w:szCs w:val="22"/>
              </w:rPr>
              <w:t>Every employer shall inform its employees of its policies used to support its employees with disabilities, including, but not limited to, policies on the provision of job accommodations that take into account an employee’s accessibility needs due to disability.</w:t>
            </w:r>
          </w:p>
        </w:tc>
        <w:tc>
          <w:tcPr>
            <w:tcW w:w="2304" w:type="dxa"/>
          </w:tcPr>
          <w:p w14:paraId="4ABE2616"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Employees informed through Handbook &amp; AODA training</w:t>
            </w:r>
          </w:p>
        </w:tc>
        <w:tc>
          <w:tcPr>
            <w:tcW w:w="1511" w:type="dxa"/>
          </w:tcPr>
          <w:p w14:paraId="7BC7FC38"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4223F591"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r w:rsidR="00FC28D5" w14:paraId="444623AC"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Merge/>
          </w:tcPr>
          <w:p w14:paraId="5D857D78"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974" w:type="dxa"/>
            <w:shd w:val="clear" w:color="auto" w:fill="auto"/>
          </w:tcPr>
          <w:p w14:paraId="652B4BEB"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Employers shall provide the information required under this section to new employees as soon as practicable after they begin their employment.</w:t>
            </w:r>
          </w:p>
        </w:tc>
        <w:tc>
          <w:tcPr>
            <w:tcW w:w="2304" w:type="dxa"/>
            <w:shd w:val="clear" w:color="auto" w:fill="auto"/>
          </w:tcPr>
          <w:p w14:paraId="490C62B8"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Employees informed through AODA training &amp; onboarding</w:t>
            </w:r>
          </w:p>
        </w:tc>
        <w:tc>
          <w:tcPr>
            <w:tcW w:w="1511" w:type="dxa"/>
            <w:shd w:val="clear" w:color="auto" w:fill="auto"/>
          </w:tcPr>
          <w:p w14:paraId="7B33F958"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13F19045"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35385EBD"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4E9750ED"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Date TBD onboarding program rollout</w:t>
            </w:r>
          </w:p>
          <w:p w14:paraId="1E086CE4"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37B2CD2C" w14:textId="77777777" w:rsidTr="00FC28D5">
        <w:tc>
          <w:tcPr>
            <w:cnfStyle w:val="001000000000" w:firstRow="0" w:lastRow="0" w:firstColumn="1" w:lastColumn="0" w:oddVBand="0" w:evenVBand="0" w:oddHBand="0" w:evenHBand="0" w:firstRowFirstColumn="0" w:firstRowLastColumn="0" w:lastRowFirstColumn="0" w:lastRowLastColumn="0"/>
            <w:tcW w:w="2041" w:type="dxa"/>
            <w:vMerge/>
          </w:tcPr>
          <w:p w14:paraId="51D343D7"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974" w:type="dxa"/>
            <w:shd w:val="clear" w:color="auto" w:fill="auto"/>
          </w:tcPr>
          <w:p w14:paraId="30DE7E73"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 Employers shall provide updated information to its employees whenever there is a change to existing policies on the provision of job accommodations that take into account an employee’s accessibility needs due to disability.</w:t>
            </w:r>
          </w:p>
        </w:tc>
        <w:tc>
          <w:tcPr>
            <w:tcW w:w="2304" w:type="dxa"/>
            <w:shd w:val="clear" w:color="auto" w:fill="auto"/>
          </w:tcPr>
          <w:p w14:paraId="62A5D878"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Employees informed of updates through Handbook circulation</w:t>
            </w:r>
          </w:p>
        </w:tc>
        <w:tc>
          <w:tcPr>
            <w:tcW w:w="1511" w:type="dxa"/>
            <w:shd w:val="clear" w:color="auto" w:fill="auto"/>
          </w:tcPr>
          <w:p w14:paraId="0F6E5381"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16864286"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r w:rsidR="00FC28D5" w14:paraId="2FBA59E3"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Merge w:val="restart"/>
          </w:tcPr>
          <w:p w14:paraId="6175D731" w14:textId="77777777" w:rsidR="00FC28D5" w:rsidRDefault="00FC28D5">
            <w:pPr>
              <w:rPr>
                <w:rFonts w:ascii="Gotham" w:eastAsia="Gotham" w:hAnsi="Gotham" w:cs="Gotham"/>
                <w:sz w:val="22"/>
                <w:szCs w:val="22"/>
              </w:rPr>
            </w:pPr>
          </w:p>
          <w:p w14:paraId="00CD5436" w14:textId="77777777" w:rsidR="00FC28D5" w:rsidRDefault="00FC28D5">
            <w:pPr>
              <w:rPr>
                <w:rFonts w:ascii="Gotham" w:eastAsia="Gotham" w:hAnsi="Gotham" w:cs="Gotham"/>
                <w:sz w:val="22"/>
                <w:szCs w:val="22"/>
              </w:rPr>
            </w:pPr>
          </w:p>
          <w:p w14:paraId="60245430" w14:textId="77777777" w:rsidR="00FC28D5" w:rsidRDefault="00FC28D5">
            <w:pPr>
              <w:rPr>
                <w:rFonts w:ascii="Gotham" w:eastAsia="Gotham" w:hAnsi="Gotham" w:cs="Gotham"/>
                <w:sz w:val="22"/>
                <w:szCs w:val="22"/>
              </w:rPr>
            </w:pPr>
          </w:p>
          <w:p w14:paraId="6CBE9498" w14:textId="77777777" w:rsidR="00FC28D5" w:rsidRDefault="00FC28D5">
            <w:pPr>
              <w:rPr>
                <w:rFonts w:ascii="Gotham" w:eastAsia="Gotham" w:hAnsi="Gotham" w:cs="Gotham"/>
                <w:sz w:val="22"/>
                <w:szCs w:val="22"/>
              </w:rPr>
            </w:pPr>
          </w:p>
          <w:p w14:paraId="66578ABF" w14:textId="77777777" w:rsidR="00FC28D5" w:rsidRDefault="00FC28D5">
            <w:pPr>
              <w:rPr>
                <w:rFonts w:ascii="Gotham" w:eastAsia="Gotham" w:hAnsi="Gotham" w:cs="Gotham"/>
                <w:sz w:val="22"/>
                <w:szCs w:val="22"/>
              </w:rPr>
            </w:pPr>
          </w:p>
          <w:p w14:paraId="4772A112" w14:textId="77777777" w:rsidR="00FC28D5" w:rsidRDefault="00FC28D5">
            <w:pPr>
              <w:rPr>
                <w:rFonts w:ascii="Gotham" w:eastAsia="Gotham" w:hAnsi="Gotham" w:cs="Gotham"/>
                <w:sz w:val="22"/>
                <w:szCs w:val="22"/>
              </w:rPr>
            </w:pPr>
          </w:p>
          <w:p w14:paraId="139A07A8" w14:textId="77777777" w:rsidR="00FC28D5" w:rsidRDefault="00000000">
            <w:pPr>
              <w:rPr>
                <w:rFonts w:ascii="Gotham" w:eastAsia="Gotham" w:hAnsi="Gotham" w:cs="Gotham"/>
                <w:sz w:val="22"/>
                <w:szCs w:val="22"/>
              </w:rPr>
            </w:pPr>
            <w:r>
              <w:rPr>
                <w:rFonts w:ascii="Gotham" w:eastAsia="Gotham" w:hAnsi="Gotham" w:cs="Gotham"/>
                <w:sz w:val="22"/>
                <w:szCs w:val="22"/>
              </w:rPr>
              <w:t>Accessible Formats &amp; Communication Supports for Employees</w:t>
            </w:r>
          </w:p>
        </w:tc>
        <w:tc>
          <w:tcPr>
            <w:tcW w:w="4974" w:type="dxa"/>
            <w:shd w:val="clear" w:color="auto" w:fill="F3F3F3"/>
          </w:tcPr>
          <w:p w14:paraId="172482E3"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26.(1) In addition to its obligations under section 12, where an employee with a disability so requests it, every employer shall consult with the employee to provide or arrange for the provision of accessible formats and communication supports for,</w:t>
            </w:r>
          </w:p>
          <w:p w14:paraId="6EBE038C"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0A9AFDD6"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  information that is needed in order to perform the employee’s job; and</w:t>
            </w:r>
          </w:p>
          <w:p w14:paraId="7708A479"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19ABCD5"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(b)  information that is generally available to employees in the workplace.</w:t>
            </w:r>
          </w:p>
        </w:tc>
        <w:tc>
          <w:tcPr>
            <w:tcW w:w="2304" w:type="dxa"/>
            <w:shd w:val="clear" w:color="auto" w:fill="F3F3F3"/>
          </w:tcPr>
          <w:p w14:paraId="484AE90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Employees consulted when determining suitable accessible formats for (a) and (b)</w:t>
            </w:r>
          </w:p>
          <w:p w14:paraId="7CDBA855"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11D5B473"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handbook</w:t>
            </w:r>
          </w:p>
        </w:tc>
        <w:tc>
          <w:tcPr>
            <w:tcW w:w="1511" w:type="dxa"/>
            <w:shd w:val="clear" w:color="auto" w:fill="F3F3F3"/>
          </w:tcPr>
          <w:p w14:paraId="4E786516"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7BCAD781"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65688FE1" w14:textId="77777777" w:rsidTr="00FC28D5">
        <w:tc>
          <w:tcPr>
            <w:cnfStyle w:val="001000000000" w:firstRow="0" w:lastRow="0" w:firstColumn="1" w:lastColumn="0" w:oddVBand="0" w:evenVBand="0" w:oddHBand="0" w:evenHBand="0" w:firstRowFirstColumn="0" w:firstRowLastColumn="0" w:lastRowFirstColumn="0" w:lastRowLastColumn="0"/>
            <w:tcW w:w="2041" w:type="dxa"/>
            <w:vMerge/>
          </w:tcPr>
          <w:p w14:paraId="1B173435"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974" w:type="dxa"/>
            <w:shd w:val="clear" w:color="auto" w:fill="F3F3F3"/>
          </w:tcPr>
          <w:p w14:paraId="643A8774"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The employer shall consult with the employee making the request in determining the suitability of an accessible format or communication support.</w:t>
            </w:r>
          </w:p>
        </w:tc>
        <w:tc>
          <w:tcPr>
            <w:tcW w:w="2304" w:type="dxa"/>
            <w:shd w:val="clear" w:color="auto" w:fill="F3F3F3"/>
          </w:tcPr>
          <w:p w14:paraId="346B61CE"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Employees consulted when determining </w:t>
            </w:r>
            <w:r>
              <w:rPr>
                <w:rFonts w:ascii="Gotham" w:eastAsia="Gotham" w:hAnsi="Gotham" w:cs="Gotham"/>
                <w:sz w:val="22"/>
                <w:szCs w:val="22"/>
              </w:rPr>
              <w:lastRenderedPageBreak/>
              <w:t>suitable accessible formats</w:t>
            </w:r>
          </w:p>
          <w:p w14:paraId="1693EE8F"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4433ABCE"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handbook</w:t>
            </w:r>
          </w:p>
        </w:tc>
        <w:tc>
          <w:tcPr>
            <w:tcW w:w="1511" w:type="dxa"/>
            <w:shd w:val="clear" w:color="auto" w:fill="F3F3F3"/>
          </w:tcPr>
          <w:p w14:paraId="0D52DF19"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sz w:val="22"/>
                <w:szCs w:val="22"/>
              </w:rPr>
              <w:lastRenderedPageBreak/>
              <w:t xml:space="preserve">August 11, 2025 – </w:t>
            </w:r>
            <w:r>
              <w:rPr>
                <w:sz w:val="22"/>
                <w:szCs w:val="22"/>
              </w:rPr>
              <w:lastRenderedPageBreak/>
              <w:t xml:space="preserve">Handbook Rollout </w:t>
            </w:r>
          </w:p>
          <w:p w14:paraId="3F456CB7"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r w:rsidR="00FC28D5" w14:paraId="3B86A576"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Merge w:val="restart"/>
            <w:shd w:val="clear" w:color="auto" w:fill="auto"/>
          </w:tcPr>
          <w:p w14:paraId="77649E0D" w14:textId="77777777" w:rsidR="00FC28D5" w:rsidRDefault="00FC28D5">
            <w:pPr>
              <w:rPr>
                <w:rFonts w:ascii="Gotham" w:eastAsia="Gotham" w:hAnsi="Gotham" w:cs="Gotham"/>
                <w:sz w:val="22"/>
                <w:szCs w:val="22"/>
              </w:rPr>
            </w:pPr>
          </w:p>
          <w:p w14:paraId="6A104777" w14:textId="77777777" w:rsidR="00FC28D5" w:rsidRDefault="00FC28D5"/>
          <w:p w14:paraId="0D928BE8" w14:textId="77777777" w:rsidR="00FC28D5" w:rsidRDefault="00FC28D5"/>
          <w:p w14:paraId="4A0DF76E" w14:textId="77777777" w:rsidR="00FC28D5" w:rsidRDefault="00FC28D5"/>
          <w:p w14:paraId="14DA20FD" w14:textId="77777777" w:rsidR="00FC28D5" w:rsidRDefault="00FC28D5"/>
          <w:p w14:paraId="0F303E37" w14:textId="77777777" w:rsidR="00FC28D5" w:rsidRDefault="00FC28D5"/>
          <w:p w14:paraId="48CF6F37" w14:textId="77777777" w:rsidR="00FC28D5" w:rsidRDefault="00FC28D5"/>
          <w:p w14:paraId="58EA6367" w14:textId="77777777" w:rsidR="00FC28D5" w:rsidRDefault="00FC28D5"/>
          <w:p w14:paraId="32F438C4" w14:textId="77777777" w:rsidR="00FC28D5" w:rsidRDefault="00FC28D5"/>
          <w:p w14:paraId="5E328294" w14:textId="77777777" w:rsidR="00FC28D5" w:rsidRDefault="00FC28D5"/>
          <w:p w14:paraId="52C85DA1" w14:textId="77777777" w:rsidR="00FC28D5" w:rsidRDefault="00FC28D5"/>
          <w:p w14:paraId="6BBCB89C" w14:textId="77777777" w:rsidR="00FC28D5" w:rsidRDefault="00FC28D5"/>
          <w:p w14:paraId="420331AE" w14:textId="77777777" w:rsidR="00FC28D5" w:rsidRDefault="00FC28D5"/>
          <w:p w14:paraId="0F95C78A" w14:textId="77777777" w:rsidR="00FC28D5" w:rsidRDefault="00FC28D5"/>
          <w:p w14:paraId="0014BF1F" w14:textId="77777777" w:rsidR="00FC28D5" w:rsidRDefault="00000000">
            <w:pPr>
              <w:rPr>
                <w:rFonts w:ascii="Gotham" w:eastAsia="Gotham" w:hAnsi="Gotham" w:cs="Gotham"/>
                <w:sz w:val="22"/>
                <w:szCs w:val="22"/>
              </w:rPr>
            </w:pPr>
            <w:r>
              <w:rPr>
                <w:rFonts w:ascii="Gotham" w:eastAsia="Gotham" w:hAnsi="Gotham" w:cs="Gotham"/>
                <w:sz w:val="22"/>
                <w:szCs w:val="22"/>
              </w:rPr>
              <w:t>Workplace Emergency Response Information</w:t>
            </w:r>
          </w:p>
        </w:tc>
        <w:tc>
          <w:tcPr>
            <w:tcW w:w="4974" w:type="dxa"/>
            <w:shd w:val="clear" w:color="auto" w:fill="auto"/>
          </w:tcPr>
          <w:p w14:paraId="36F4AE67"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27.(1) Every employer shall provide individualized workplace emergency response information to employees who have a disability, if the disability is such that the individualized information is necessary and the employer is aware of the need for accommodation due to the employee’s disability.</w:t>
            </w:r>
          </w:p>
        </w:tc>
        <w:tc>
          <w:tcPr>
            <w:tcW w:w="2304" w:type="dxa"/>
            <w:shd w:val="clear" w:color="auto" w:fill="auto"/>
          </w:tcPr>
          <w:p w14:paraId="63D36A5A"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Handbook &amp; Health and Safety program</w:t>
            </w:r>
          </w:p>
        </w:tc>
        <w:tc>
          <w:tcPr>
            <w:tcW w:w="1511" w:type="dxa"/>
            <w:shd w:val="clear" w:color="auto" w:fill="auto"/>
          </w:tcPr>
          <w:p w14:paraId="40A3EA5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6B62F2A9"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 </w:t>
            </w:r>
          </w:p>
          <w:p w14:paraId="4E04276B"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10690E9D"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Date TBD: H&amp;S program rollout</w:t>
            </w:r>
          </w:p>
          <w:p w14:paraId="29624F3D"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00C1C077" w14:textId="77777777" w:rsidTr="00FC28D5">
        <w:tc>
          <w:tcPr>
            <w:cnfStyle w:val="001000000000" w:firstRow="0" w:lastRow="0" w:firstColumn="1" w:lastColumn="0" w:oddVBand="0" w:evenVBand="0" w:oddHBand="0" w:evenHBand="0" w:firstRowFirstColumn="0" w:firstRowLastColumn="0" w:lastRowFirstColumn="0" w:lastRowLastColumn="0"/>
            <w:tcW w:w="2041" w:type="dxa"/>
            <w:vMerge/>
            <w:shd w:val="clear" w:color="auto" w:fill="auto"/>
          </w:tcPr>
          <w:p w14:paraId="37867297"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974" w:type="dxa"/>
            <w:shd w:val="clear" w:color="auto" w:fill="auto"/>
          </w:tcPr>
          <w:p w14:paraId="3BE6D2B6"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If an employee who receives individualized workplace emergency response information requires assistance and with the employee’s consent, the employer shall provide the workplace emergency response information to the person designated by the employer to provide assistance to the employee.</w:t>
            </w:r>
          </w:p>
        </w:tc>
        <w:tc>
          <w:tcPr>
            <w:tcW w:w="2304" w:type="dxa"/>
            <w:shd w:val="clear" w:color="auto" w:fill="auto"/>
          </w:tcPr>
          <w:p w14:paraId="212E7160"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Handbook and Health and Safety program</w:t>
            </w:r>
          </w:p>
        </w:tc>
        <w:tc>
          <w:tcPr>
            <w:tcW w:w="1511" w:type="dxa"/>
            <w:shd w:val="clear" w:color="auto" w:fill="auto"/>
          </w:tcPr>
          <w:p w14:paraId="0DC040E0"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2385926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 </w:t>
            </w:r>
          </w:p>
          <w:p w14:paraId="564EB975"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252DAC40"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Date TBD: H&amp;S program rollout</w:t>
            </w:r>
          </w:p>
          <w:p w14:paraId="6435D88F"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r w:rsidR="00FC28D5" w14:paraId="29B12353"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Merge/>
            <w:shd w:val="clear" w:color="auto" w:fill="auto"/>
          </w:tcPr>
          <w:p w14:paraId="240158E5"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974" w:type="dxa"/>
            <w:shd w:val="clear" w:color="auto" w:fill="auto"/>
          </w:tcPr>
          <w:p w14:paraId="62BBFD7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Employers shall provide the information required under this section as soon as practicable after the employer becomes aware of the need for accommodation due to the employee’s disability.</w:t>
            </w:r>
          </w:p>
        </w:tc>
        <w:tc>
          <w:tcPr>
            <w:tcW w:w="2304" w:type="dxa"/>
            <w:shd w:val="clear" w:color="auto" w:fill="auto"/>
          </w:tcPr>
          <w:p w14:paraId="60F8A7DF"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handbook and Health and Safety program</w:t>
            </w:r>
          </w:p>
        </w:tc>
        <w:tc>
          <w:tcPr>
            <w:tcW w:w="1511" w:type="dxa"/>
            <w:shd w:val="clear" w:color="auto" w:fill="auto"/>
          </w:tcPr>
          <w:p w14:paraId="3E4CF71F"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4E9E0EE5" w14:textId="77777777" w:rsidTr="00FC28D5">
        <w:tc>
          <w:tcPr>
            <w:cnfStyle w:val="001000000000" w:firstRow="0" w:lastRow="0" w:firstColumn="1" w:lastColumn="0" w:oddVBand="0" w:evenVBand="0" w:oddHBand="0" w:evenHBand="0" w:firstRowFirstColumn="0" w:firstRowLastColumn="0" w:lastRowFirstColumn="0" w:lastRowLastColumn="0"/>
            <w:tcW w:w="2041" w:type="dxa"/>
            <w:vMerge/>
            <w:shd w:val="clear" w:color="auto" w:fill="auto"/>
          </w:tcPr>
          <w:p w14:paraId="0BA4F070"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974" w:type="dxa"/>
            <w:shd w:val="clear" w:color="auto" w:fill="auto"/>
          </w:tcPr>
          <w:p w14:paraId="51A89E87"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(4) Every employer shall review the individualized workplace emergency response information,</w:t>
            </w:r>
          </w:p>
          <w:p w14:paraId="4CD67077"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59A573C0" w14:textId="77777777" w:rsidR="00FC28D5" w:rsidRDefault="00000000">
            <w:pPr>
              <w:ind w:left="360"/>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  when the employee moves to a different location in the organization;</w:t>
            </w:r>
          </w:p>
          <w:p w14:paraId="3B566384" w14:textId="77777777" w:rsidR="00FC28D5" w:rsidRDefault="00000000">
            <w:pPr>
              <w:ind w:left="360"/>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(b)  when the employee’s overall accommodations needs or plans are reviewed; and</w:t>
            </w:r>
          </w:p>
          <w:p w14:paraId="7C34A5D4" w14:textId="77777777" w:rsidR="00FC28D5" w:rsidRDefault="00000000">
            <w:pPr>
              <w:ind w:left="360"/>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(c)  when the employer reviews its general emergency response policies.</w:t>
            </w:r>
          </w:p>
        </w:tc>
        <w:tc>
          <w:tcPr>
            <w:tcW w:w="2304" w:type="dxa"/>
            <w:shd w:val="clear" w:color="auto" w:fill="auto"/>
          </w:tcPr>
          <w:p w14:paraId="0ACA9EEB"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handbook and Health and Safety program.</w:t>
            </w:r>
          </w:p>
          <w:p w14:paraId="1A3F5C3D"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0BC252D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EAPs are reviewed annually and as needed.</w:t>
            </w:r>
          </w:p>
          <w:p w14:paraId="38F11BA2"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14BDF6A9"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Individual EAPs will be reviewed annually and when needed due to a change </w:t>
            </w:r>
          </w:p>
          <w:p w14:paraId="56AC7EF2"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328EE3AE"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c>
          <w:tcPr>
            <w:tcW w:w="1511" w:type="dxa"/>
            <w:shd w:val="clear" w:color="auto" w:fill="auto"/>
          </w:tcPr>
          <w:p w14:paraId="2EC154E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Date TBD: H&amp;S program rollout</w:t>
            </w:r>
          </w:p>
          <w:p w14:paraId="49E37285"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35AD262B"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r w:rsidR="00FC28D5" w14:paraId="346C6D19"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Merge w:val="restart"/>
            <w:shd w:val="clear" w:color="auto" w:fill="F3F3F3"/>
          </w:tcPr>
          <w:p w14:paraId="20AE47C7" w14:textId="77777777" w:rsidR="00FC28D5" w:rsidRDefault="00FC28D5">
            <w:pPr>
              <w:rPr>
                <w:rFonts w:ascii="Gotham" w:eastAsia="Gotham" w:hAnsi="Gotham" w:cs="Gotham"/>
                <w:sz w:val="22"/>
                <w:szCs w:val="22"/>
              </w:rPr>
            </w:pPr>
          </w:p>
          <w:p w14:paraId="590455F0" w14:textId="77777777" w:rsidR="00FC28D5" w:rsidRDefault="00FC28D5"/>
          <w:p w14:paraId="1661BE51" w14:textId="77777777" w:rsidR="00FC28D5" w:rsidRDefault="00FC28D5"/>
          <w:p w14:paraId="3ECEF301" w14:textId="77777777" w:rsidR="00FC28D5" w:rsidRDefault="00FC28D5"/>
          <w:p w14:paraId="244D5571" w14:textId="77777777" w:rsidR="00FC28D5" w:rsidRDefault="00FC28D5"/>
          <w:p w14:paraId="45D38EFE" w14:textId="77777777" w:rsidR="00FC28D5" w:rsidRDefault="00FC28D5"/>
          <w:p w14:paraId="60216FED" w14:textId="77777777" w:rsidR="00FC28D5" w:rsidRDefault="00FC28D5"/>
          <w:p w14:paraId="7DCFC623" w14:textId="77777777" w:rsidR="00FC28D5" w:rsidRDefault="00FC28D5"/>
          <w:p w14:paraId="26F13443" w14:textId="77777777" w:rsidR="00FC28D5" w:rsidRDefault="00FC28D5"/>
          <w:p w14:paraId="0E6EB873" w14:textId="77777777" w:rsidR="00FC28D5" w:rsidRDefault="00FC28D5"/>
          <w:p w14:paraId="48A6B98A" w14:textId="77777777" w:rsidR="00FC28D5" w:rsidRDefault="00FC28D5"/>
          <w:p w14:paraId="3F28D1F4" w14:textId="77777777" w:rsidR="00FC28D5" w:rsidRDefault="00FC28D5"/>
          <w:p w14:paraId="1C0B49EC" w14:textId="77777777" w:rsidR="00FC28D5" w:rsidRDefault="00FC28D5"/>
          <w:p w14:paraId="781F92C3" w14:textId="77777777" w:rsidR="00FC28D5" w:rsidRDefault="00FC28D5"/>
          <w:p w14:paraId="6E4E2D3C" w14:textId="77777777" w:rsidR="00FC28D5" w:rsidRDefault="00FC28D5"/>
          <w:p w14:paraId="482A544D" w14:textId="77777777" w:rsidR="00FC28D5" w:rsidRDefault="00FC28D5"/>
          <w:p w14:paraId="1AF0F168" w14:textId="77777777" w:rsidR="00FC28D5" w:rsidRDefault="00FC28D5"/>
          <w:p w14:paraId="2869D7AF" w14:textId="77777777" w:rsidR="00FC28D5" w:rsidRDefault="00FC28D5"/>
          <w:p w14:paraId="7F841130" w14:textId="77777777" w:rsidR="00FC28D5" w:rsidRDefault="00FC28D5"/>
          <w:p w14:paraId="08945C9F" w14:textId="77777777" w:rsidR="00FC28D5" w:rsidRDefault="00FC28D5"/>
          <w:p w14:paraId="3EB1EEBE" w14:textId="77777777" w:rsidR="00FC28D5" w:rsidRDefault="00FC28D5"/>
          <w:p w14:paraId="4B20C497" w14:textId="77777777" w:rsidR="00FC28D5" w:rsidRDefault="00FC28D5"/>
          <w:p w14:paraId="4322BF54" w14:textId="77777777" w:rsidR="00FC28D5" w:rsidRDefault="00000000">
            <w:pPr>
              <w:rPr>
                <w:rFonts w:ascii="Gotham" w:eastAsia="Gotham" w:hAnsi="Gotham" w:cs="Gotham"/>
                <w:sz w:val="22"/>
                <w:szCs w:val="22"/>
              </w:rPr>
            </w:pPr>
            <w:r>
              <w:rPr>
                <w:rFonts w:ascii="Gotham" w:eastAsia="Gotham" w:hAnsi="Gotham" w:cs="Gotham"/>
                <w:sz w:val="22"/>
                <w:szCs w:val="22"/>
              </w:rPr>
              <w:t>Documented Individual Accommodation Plans</w:t>
            </w:r>
          </w:p>
        </w:tc>
        <w:tc>
          <w:tcPr>
            <w:tcW w:w="4974" w:type="dxa"/>
            <w:shd w:val="clear" w:color="auto" w:fill="F3F3F3"/>
          </w:tcPr>
          <w:p w14:paraId="2712D7A1"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 xml:space="preserve">28.(1) Employers, other than employers that are small organizations, shall develop and have in place a written process for the development of documented individual </w:t>
            </w:r>
            <w:r>
              <w:rPr>
                <w:rFonts w:ascii="Gotham" w:eastAsia="Gotham" w:hAnsi="Gotham" w:cs="Gotham"/>
                <w:sz w:val="22"/>
                <w:szCs w:val="22"/>
              </w:rPr>
              <w:lastRenderedPageBreak/>
              <w:t>accommodation plans for employees with disabilities.</w:t>
            </w:r>
          </w:p>
        </w:tc>
        <w:tc>
          <w:tcPr>
            <w:tcW w:w="2304" w:type="dxa"/>
            <w:shd w:val="clear" w:color="auto" w:fill="F3F3F3"/>
          </w:tcPr>
          <w:p w14:paraId="18E6F45D"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 xml:space="preserve">Process identified in Handbook. Individual accommodations </w:t>
            </w:r>
            <w:r>
              <w:rPr>
                <w:rFonts w:ascii="Gotham" w:eastAsia="Gotham" w:hAnsi="Gotham" w:cs="Gotham"/>
                <w:sz w:val="22"/>
                <w:szCs w:val="22"/>
              </w:rPr>
              <w:lastRenderedPageBreak/>
              <w:t>provided as required.</w:t>
            </w:r>
          </w:p>
        </w:tc>
        <w:tc>
          <w:tcPr>
            <w:tcW w:w="1511" w:type="dxa"/>
            <w:shd w:val="clear" w:color="auto" w:fill="F3F3F3"/>
          </w:tcPr>
          <w:p w14:paraId="6F394217"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August 11, 2025 – Handbook Rollout</w:t>
            </w:r>
          </w:p>
          <w:p w14:paraId="02A94FF0"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71E52A14" w14:textId="77777777" w:rsidTr="00FC28D5">
        <w:tc>
          <w:tcPr>
            <w:cnfStyle w:val="001000000000" w:firstRow="0" w:lastRow="0" w:firstColumn="1" w:lastColumn="0" w:oddVBand="0" w:evenVBand="0" w:oddHBand="0" w:evenHBand="0" w:firstRowFirstColumn="0" w:firstRowLastColumn="0" w:lastRowFirstColumn="0" w:lastRowLastColumn="0"/>
            <w:tcW w:w="2041" w:type="dxa"/>
            <w:vMerge/>
            <w:shd w:val="clear" w:color="auto" w:fill="F3F3F3"/>
          </w:tcPr>
          <w:p w14:paraId="3EA239CB"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974" w:type="dxa"/>
            <w:shd w:val="clear" w:color="auto" w:fill="F3F3F3"/>
          </w:tcPr>
          <w:p w14:paraId="708FE5D4"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The process for the development of documented individual accommodation plans shall include the following elements:</w:t>
            </w:r>
          </w:p>
          <w:p w14:paraId="5B70E1FC"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149A7703"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1.  The manner in which an employee requesting accommodation can participate in the development of the individual accommodation plan.</w:t>
            </w:r>
          </w:p>
          <w:p w14:paraId="04D4683D"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63AF9DD6"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The means by which the employee is assessed on an individual basis.</w:t>
            </w:r>
          </w:p>
          <w:p w14:paraId="634704FD"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36974D7B"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3.  The manner in which the employer can request an evaluation by an outside medical or other expert, at the employer’s expense, to assist the employer in determining if accommodation can be achieved and, if so, how accommodation can be achieved. </w:t>
            </w:r>
          </w:p>
          <w:p w14:paraId="65842CEA"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1ABC06EB"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4.  The manner in which the employee can request the participation of a representative from their bargaining agent, where the employee is represented by a bargaining agent, or other representative from the workplace, where the employee is not represented by a bargaining agent, in the development of the accommodation plan.</w:t>
            </w:r>
          </w:p>
          <w:p w14:paraId="3A622D27"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636B0B74"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5.  The steps taken to protect the privacy of the employee’s personal information.</w:t>
            </w:r>
          </w:p>
          <w:p w14:paraId="1CA35CA0"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422526C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6.  The frequency with which the individual accommodation plan will be reviewed and updated and the manner in which it will be done.</w:t>
            </w:r>
          </w:p>
          <w:p w14:paraId="264DE3DC"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152B258C"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7.  If an individual accommodation plan is denied, the manner in which the reasons for the denial will be provided to the employee.</w:t>
            </w:r>
          </w:p>
          <w:p w14:paraId="334C2F4C"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0CBF3C5F"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8.  The means of providing the individual accommodation plan in a format that takes into account the employee’s accessibility needs due to disability.</w:t>
            </w:r>
          </w:p>
        </w:tc>
        <w:tc>
          <w:tcPr>
            <w:tcW w:w="2304" w:type="dxa"/>
            <w:shd w:val="clear" w:color="auto" w:fill="F3F3F3"/>
          </w:tcPr>
          <w:p w14:paraId="1F7BC01C"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Process identified in Handbook</w:t>
            </w:r>
          </w:p>
        </w:tc>
        <w:tc>
          <w:tcPr>
            <w:tcW w:w="1511" w:type="dxa"/>
            <w:shd w:val="clear" w:color="auto" w:fill="F3F3F3"/>
          </w:tcPr>
          <w:p w14:paraId="6985C378"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4BA8AF81"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2161CAB2"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3FA9D88B"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r w:rsidR="00FC28D5" w14:paraId="247A36B1"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Merge w:val="restart"/>
            <w:shd w:val="clear" w:color="auto" w:fill="auto"/>
          </w:tcPr>
          <w:p w14:paraId="7F8C3C72" w14:textId="77777777" w:rsidR="00FC28D5" w:rsidRDefault="00FC28D5">
            <w:pPr>
              <w:rPr>
                <w:rFonts w:ascii="Gotham" w:eastAsia="Gotham" w:hAnsi="Gotham" w:cs="Gotham"/>
                <w:sz w:val="22"/>
                <w:szCs w:val="22"/>
              </w:rPr>
            </w:pPr>
          </w:p>
          <w:p w14:paraId="41F7D2EE" w14:textId="77777777" w:rsidR="00FC28D5" w:rsidRDefault="00FC28D5"/>
          <w:p w14:paraId="5B63D57E" w14:textId="77777777" w:rsidR="00FC28D5" w:rsidRDefault="00FC28D5"/>
          <w:p w14:paraId="2002253B" w14:textId="77777777" w:rsidR="00FC28D5" w:rsidRDefault="00FC28D5"/>
          <w:p w14:paraId="0D5B15D7" w14:textId="77777777" w:rsidR="00FC28D5" w:rsidRDefault="00FC28D5"/>
          <w:p w14:paraId="7A617E91" w14:textId="77777777" w:rsidR="00FC28D5" w:rsidRDefault="00FC28D5"/>
          <w:p w14:paraId="094179FD" w14:textId="77777777" w:rsidR="00FC28D5" w:rsidRDefault="00FC28D5"/>
          <w:p w14:paraId="2FF19562" w14:textId="77777777" w:rsidR="00FC28D5" w:rsidRDefault="00FC28D5"/>
          <w:p w14:paraId="61FCAC76" w14:textId="77777777" w:rsidR="00FC28D5" w:rsidRDefault="00FC28D5"/>
          <w:p w14:paraId="35711F3B" w14:textId="77777777" w:rsidR="00FC28D5" w:rsidRDefault="00000000">
            <w:pPr>
              <w:rPr>
                <w:rFonts w:ascii="Gotham" w:eastAsia="Gotham" w:hAnsi="Gotham" w:cs="Gotham"/>
                <w:sz w:val="22"/>
                <w:szCs w:val="22"/>
              </w:rPr>
            </w:pPr>
            <w:r>
              <w:rPr>
                <w:rFonts w:ascii="Gotham" w:eastAsia="Gotham" w:hAnsi="Gotham" w:cs="Gotham"/>
                <w:sz w:val="22"/>
                <w:szCs w:val="22"/>
              </w:rPr>
              <w:t>Return to Work Process</w:t>
            </w:r>
          </w:p>
        </w:tc>
        <w:tc>
          <w:tcPr>
            <w:tcW w:w="4974" w:type="dxa"/>
            <w:shd w:val="clear" w:color="auto" w:fill="auto"/>
          </w:tcPr>
          <w:p w14:paraId="4FC7F7A5"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29.(1) 1) Every employer, other than an employer that is a small organization,</w:t>
            </w:r>
          </w:p>
          <w:p w14:paraId="45744D48"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19C5A2EB"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(a)  shall develop and have in place a return to work process for its employees who have been absent from work due to a disability and require disability-related accommodations in order to return to work; and</w:t>
            </w:r>
          </w:p>
          <w:p w14:paraId="4E07CA17"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1BE0C174"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(b)  shall document the process.</w:t>
            </w:r>
          </w:p>
        </w:tc>
        <w:tc>
          <w:tcPr>
            <w:tcW w:w="2304" w:type="dxa"/>
            <w:shd w:val="clear" w:color="auto" w:fill="auto"/>
          </w:tcPr>
          <w:p w14:paraId="186A449A"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Identified within Handbook</w:t>
            </w:r>
          </w:p>
        </w:tc>
        <w:tc>
          <w:tcPr>
            <w:tcW w:w="1511" w:type="dxa"/>
            <w:shd w:val="clear" w:color="auto" w:fill="auto"/>
          </w:tcPr>
          <w:p w14:paraId="3FD68A08"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August 11, 2025 – </w:t>
            </w:r>
            <w:r>
              <w:rPr>
                <w:rFonts w:ascii="Gotham" w:eastAsia="Gotham" w:hAnsi="Gotham" w:cs="Gotham"/>
                <w:sz w:val="22"/>
                <w:szCs w:val="22"/>
              </w:rPr>
              <w:lastRenderedPageBreak/>
              <w:t>Handbook Rollout</w:t>
            </w:r>
          </w:p>
        </w:tc>
      </w:tr>
      <w:tr w:rsidR="00FC28D5" w14:paraId="3E7B3D64" w14:textId="77777777" w:rsidTr="00FC28D5">
        <w:tc>
          <w:tcPr>
            <w:cnfStyle w:val="001000000000" w:firstRow="0" w:lastRow="0" w:firstColumn="1" w:lastColumn="0" w:oddVBand="0" w:evenVBand="0" w:oddHBand="0" w:evenHBand="0" w:firstRowFirstColumn="0" w:firstRowLastColumn="0" w:lastRowFirstColumn="0" w:lastRowLastColumn="0"/>
            <w:tcW w:w="2041" w:type="dxa"/>
            <w:vMerge/>
            <w:shd w:val="clear" w:color="auto" w:fill="auto"/>
          </w:tcPr>
          <w:p w14:paraId="7F90D959"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974" w:type="dxa"/>
            <w:shd w:val="clear" w:color="auto" w:fill="auto"/>
          </w:tcPr>
          <w:p w14:paraId="72EF1C3F"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The return to work process shall,</w:t>
            </w:r>
          </w:p>
          <w:p w14:paraId="5A1B92E6"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6EDF5EB0"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(a)  outline the steps the employer will take to facilitate the return to work of employees who were absent because their disability required them to be away from work; and </w:t>
            </w:r>
          </w:p>
          <w:p w14:paraId="0A407DAD"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6722135D"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(b)  use documented individual accommodation plans, as described in section 28, as part of the process.</w:t>
            </w:r>
          </w:p>
        </w:tc>
        <w:tc>
          <w:tcPr>
            <w:tcW w:w="2304" w:type="dxa"/>
            <w:shd w:val="clear" w:color="auto" w:fill="auto"/>
          </w:tcPr>
          <w:p w14:paraId="214DB57F"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within Handbook</w:t>
            </w:r>
          </w:p>
        </w:tc>
        <w:tc>
          <w:tcPr>
            <w:tcW w:w="1511" w:type="dxa"/>
            <w:shd w:val="clear" w:color="auto" w:fill="auto"/>
          </w:tcPr>
          <w:p w14:paraId="3D389364"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tc>
      </w:tr>
      <w:tr w:rsidR="00FC28D5" w14:paraId="0DCBF289"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Merge/>
            <w:shd w:val="clear" w:color="auto" w:fill="auto"/>
          </w:tcPr>
          <w:p w14:paraId="18EF0BE8"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974" w:type="dxa"/>
            <w:shd w:val="clear" w:color="auto" w:fill="auto"/>
          </w:tcPr>
          <w:p w14:paraId="25A8904F"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 The return to work process referenced in this section does not replace or override any other return to work process created by or under any other statute.</w:t>
            </w:r>
          </w:p>
        </w:tc>
        <w:tc>
          <w:tcPr>
            <w:tcW w:w="2304" w:type="dxa"/>
            <w:shd w:val="clear" w:color="auto" w:fill="auto"/>
          </w:tcPr>
          <w:p w14:paraId="4EB4F60C"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within Handbook</w:t>
            </w:r>
          </w:p>
        </w:tc>
        <w:tc>
          <w:tcPr>
            <w:tcW w:w="1511" w:type="dxa"/>
            <w:shd w:val="clear" w:color="auto" w:fill="auto"/>
          </w:tcPr>
          <w:p w14:paraId="0F5011EA"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tc>
      </w:tr>
      <w:tr w:rsidR="00FC28D5" w14:paraId="7C613D90" w14:textId="77777777" w:rsidTr="00FC28D5">
        <w:tc>
          <w:tcPr>
            <w:cnfStyle w:val="001000000000" w:firstRow="0" w:lastRow="0" w:firstColumn="1" w:lastColumn="0" w:oddVBand="0" w:evenVBand="0" w:oddHBand="0" w:evenHBand="0" w:firstRowFirstColumn="0" w:firstRowLastColumn="0" w:lastRowFirstColumn="0" w:lastRowLastColumn="0"/>
            <w:tcW w:w="2041" w:type="dxa"/>
            <w:shd w:val="clear" w:color="auto" w:fill="F3F3F3"/>
          </w:tcPr>
          <w:p w14:paraId="642431E8" w14:textId="77777777" w:rsidR="00FC28D5" w:rsidRDefault="00000000">
            <w:pPr>
              <w:rPr>
                <w:rFonts w:ascii="Gotham" w:eastAsia="Gotham" w:hAnsi="Gotham" w:cs="Gotham"/>
                <w:sz w:val="22"/>
                <w:szCs w:val="22"/>
              </w:rPr>
            </w:pPr>
            <w:r>
              <w:rPr>
                <w:rFonts w:ascii="Gotham" w:eastAsia="Gotham" w:hAnsi="Gotham" w:cs="Gotham"/>
                <w:sz w:val="22"/>
                <w:szCs w:val="22"/>
              </w:rPr>
              <w:t>Performance Management</w:t>
            </w:r>
          </w:p>
        </w:tc>
        <w:tc>
          <w:tcPr>
            <w:tcW w:w="4974" w:type="dxa"/>
            <w:shd w:val="clear" w:color="auto" w:fill="F3F3F3"/>
          </w:tcPr>
          <w:p w14:paraId="5B9B7DB3"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30.(1) An employer that uses performance management in respect of its employees shall take into account the accessibility needs of employees with disabilities, as well as individual accommodation plans, when using its performance management process in respect of employees with disabilities.</w:t>
            </w:r>
          </w:p>
        </w:tc>
        <w:tc>
          <w:tcPr>
            <w:tcW w:w="2304" w:type="dxa"/>
            <w:shd w:val="clear" w:color="auto" w:fill="F3F3F3"/>
          </w:tcPr>
          <w:p w14:paraId="773235DC"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Handbook</w:t>
            </w:r>
          </w:p>
        </w:tc>
        <w:tc>
          <w:tcPr>
            <w:tcW w:w="1511" w:type="dxa"/>
            <w:shd w:val="clear" w:color="auto" w:fill="F3F3F3"/>
          </w:tcPr>
          <w:p w14:paraId="5C492019"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tc>
      </w:tr>
      <w:tr w:rsidR="00FC28D5" w14:paraId="0E572BC4"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3983BF64" w14:textId="77777777" w:rsidR="00FC28D5" w:rsidRDefault="00000000">
            <w:pPr>
              <w:rPr>
                <w:rFonts w:ascii="Gotham" w:eastAsia="Gotham" w:hAnsi="Gotham" w:cs="Gotham"/>
                <w:sz w:val="22"/>
                <w:szCs w:val="22"/>
              </w:rPr>
            </w:pPr>
            <w:r>
              <w:rPr>
                <w:rFonts w:ascii="Gotham" w:eastAsia="Gotham" w:hAnsi="Gotham" w:cs="Gotham"/>
                <w:sz w:val="22"/>
                <w:szCs w:val="22"/>
              </w:rPr>
              <w:t>Career Development &amp; Advancement</w:t>
            </w:r>
          </w:p>
        </w:tc>
        <w:tc>
          <w:tcPr>
            <w:tcW w:w="4974" w:type="dxa"/>
            <w:shd w:val="clear" w:color="auto" w:fill="auto"/>
          </w:tcPr>
          <w:p w14:paraId="0E521F65"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31.(1) An employer that provides career development and advancement to its employees shall take into account the accessibility needs of its employees with disabilities as well as any individual accommodation plans, when providing career development and advancement to its employees with disabilities.</w:t>
            </w:r>
          </w:p>
        </w:tc>
        <w:tc>
          <w:tcPr>
            <w:tcW w:w="2304" w:type="dxa"/>
            <w:shd w:val="clear" w:color="auto" w:fill="auto"/>
          </w:tcPr>
          <w:p w14:paraId="7F8B24C7"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Handbook</w:t>
            </w:r>
          </w:p>
        </w:tc>
        <w:tc>
          <w:tcPr>
            <w:tcW w:w="1511" w:type="dxa"/>
            <w:shd w:val="clear" w:color="auto" w:fill="auto"/>
          </w:tcPr>
          <w:p w14:paraId="180EE440"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tc>
      </w:tr>
      <w:tr w:rsidR="00FC28D5" w14:paraId="708178FE" w14:textId="77777777" w:rsidTr="00FC28D5">
        <w:tc>
          <w:tcPr>
            <w:cnfStyle w:val="001000000000" w:firstRow="0" w:lastRow="0" w:firstColumn="1" w:lastColumn="0" w:oddVBand="0" w:evenVBand="0" w:oddHBand="0" w:evenHBand="0" w:firstRowFirstColumn="0" w:firstRowLastColumn="0" w:lastRowFirstColumn="0" w:lastRowLastColumn="0"/>
            <w:tcW w:w="2041" w:type="dxa"/>
            <w:shd w:val="clear" w:color="auto" w:fill="F3F3F3"/>
          </w:tcPr>
          <w:p w14:paraId="4136C0BD" w14:textId="77777777" w:rsidR="00FC28D5" w:rsidRDefault="00000000">
            <w:pPr>
              <w:rPr>
                <w:rFonts w:ascii="Gotham" w:eastAsia="Gotham" w:hAnsi="Gotham" w:cs="Gotham"/>
                <w:sz w:val="22"/>
                <w:szCs w:val="22"/>
              </w:rPr>
            </w:pPr>
            <w:r>
              <w:rPr>
                <w:rFonts w:ascii="Gotham" w:eastAsia="Gotham" w:hAnsi="Gotham" w:cs="Gotham"/>
                <w:sz w:val="22"/>
                <w:szCs w:val="22"/>
              </w:rPr>
              <w:t>Redeployment</w:t>
            </w:r>
          </w:p>
        </w:tc>
        <w:tc>
          <w:tcPr>
            <w:tcW w:w="4974" w:type="dxa"/>
            <w:shd w:val="clear" w:color="auto" w:fill="F3F3F3"/>
          </w:tcPr>
          <w:p w14:paraId="6C8CF7E3"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32.(1) An employer that uses redeployment shall take into account the accessibility needs of its employees with disabilities, as well as individual accommodation plans, when redeploying employees with disabilities.</w:t>
            </w:r>
          </w:p>
        </w:tc>
        <w:tc>
          <w:tcPr>
            <w:tcW w:w="2304" w:type="dxa"/>
            <w:shd w:val="clear" w:color="auto" w:fill="F3F3F3"/>
          </w:tcPr>
          <w:p w14:paraId="770EA883"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Identified in Handbook</w:t>
            </w:r>
          </w:p>
        </w:tc>
        <w:tc>
          <w:tcPr>
            <w:tcW w:w="1511" w:type="dxa"/>
            <w:shd w:val="clear" w:color="auto" w:fill="F3F3F3"/>
          </w:tcPr>
          <w:p w14:paraId="08639CC2"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tc>
      </w:tr>
    </w:tbl>
    <w:p w14:paraId="320BA328" w14:textId="77777777" w:rsidR="00FC28D5" w:rsidRDefault="00FC28D5"/>
    <w:p w14:paraId="037F0B2E" w14:textId="77777777" w:rsidR="00FC28D5" w:rsidRDefault="00000000">
      <w:pPr>
        <w:pStyle w:val="Heading3"/>
        <w:rPr>
          <w:color w:val="000000"/>
        </w:rPr>
      </w:pPr>
      <w:r>
        <w:t>PART IV – Design of Public Spaces</w:t>
      </w:r>
    </w:p>
    <w:tbl>
      <w:tblPr>
        <w:tblStyle w:val="ac"/>
        <w:tblW w:w="108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25"/>
        <w:gridCol w:w="4843"/>
        <w:gridCol w:w="2298"/>
        <w:gridCol w:w="1667"/>
      </w:tblGrid>
      <w:tr w:rsidR="00FC28D5" w14:paraId="247A5132" w14:textId="77777777" w:rsidTr="00FC28D5">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025" w:type="dxa"/>
          </w:tcPr>
          <w:p w14:paraId="3BDC886D" w14:textId="77777777" w:rsidR="00FC28D5" w:rsidRDefault="00000000">
            <w:pPr>
              <w:jc w:val="center"/>
              <w:rPr>
                <w:rFonts w:ascii="Gotham" w:eastAsia="Gotham" w:hAnsi="Gotham" w:cs="Gotham"/>
                <w:sz w:val="22"/>
                <w:szCs w:val="22"/>
              </w:rPr>
            </w:pPr>
            <w:r>
              <w:rPr>
                <w:rFonts w:ascii="Gotham" w:eastAsia="Gotham" w:hAnsi="Gotham" w:cs="Gotham"/>
                <w:b w:val="0"/>
                <w:sz w:val="22"/>
                <w:szCs w:val="22"/>
              </w:rPr>
              <w:t>Initiative</w:t>
            </w:r>
          </w:p>
        </w:tc>
        <w:tc>
          <w:tcPr>
            <w:tcW w:w="4843" w:type="dxa"/>
          </w:tcPr>
          <w:p w14:paraId="166A9797"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Description</w:t>
            </w:r>
          </w:p>
        </w:tc>
        <w:tc>
          <w:tcPr>
            <w:tcW w:w="2298" w:type="dxa"/>
          </w:tcPr>
          <w:p w14:paraId="1246351B"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Action</w:t>
            </w:r>
          </w:p>
        </w:tc>
        <w:tc>
          <w:tcPr>
            <w:tcW w:w="1667" w:type="dxa"/>
          </w:tcPr>
          <w:p w14:paraId="2A6FF798"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Compliance Date - AODA</w:t>
            </w:r>
          </w:p>
        </w:tc>
      </w:tr>
      <w:tr w:rsidR="00FC28D5" w14:paraId="5D844D75" w14:textId="77777777" w:rsidTr="00FC28D5">
        <w:trPr>
          <w:cnfStyle w:val="000000100000" w:firstRow="0" w:lastRow="0" w:firstColumn="0" w:lastColumn="0" w:oddVBand="0" w:evenVBand="0" w:oddHBand="1" w:evenHBand="0" w:firstRowFirstColumn="0" w:firstRowLastColumn="0" w:lastRowFirstColumn="0" w:lastRowLastColumn="0"/>
          <w:trHeight w:val="1464"/>
        </w:trPr>
        <w:tc>
          <w:tcPr>
            <w:cnfStyle w:val="001000000000" w:firstRow="0" w:lastRow="0" w:firstColumn="1" w:lastColumn="0" w:oddVBand="0" w:evenVBand="0" w:oddHBand="0" w:evenHBand="0" w:firstRowFirstColumn="0" w:firstRowLastColumn="0" w:lastRowFirstColumn="0" w:lastRowLastColumn="0"/>
            <w:tcW w:w="2025" w:type="dxa"/>
          </w:tcPr>
          <w:p w14:paraId="0389AFE1" w14:textId="77777777" w:rsidR="00FC28D5" w:rsidRDefault="00000000">
            <w:pPr>
              <w:rPr>
                <w:rFonts w:ascii="Gotham" w:eastAsia="Gotham" w:hAnsi="Gotham" w:cs="Gotham"/>
                <w:sz w:val="22"/>
                <w:szCs w:val="22"/>
              </w:rPr>
            </w:pPr>
            <w:r>
              <w:rPr>
                <w:rFonts w:ascii="Gotham" w:eastAsia="Gotham" w:hAnsi="Gotham" w:cs="Gotham"/>
                <w:sz w:val="22"/>
                <w:szCs w:val="22"/>
              </w:rPr>
              <w:lastRenderedPageBreak/>
              <w:t>Exterior Paths of Travel</w:t>
            </w:r>
          </w:p>
        </w:tc>
        <w:tc>
          <w:tcPr>
            <w:tcW w:w="4843" w:type="dxa"/>
          </w:tcPr>
          <w:p w14:paraId="542CED81"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80.22 Obligated organizations, other than small organizations, shall ensure that any exterior paths of travel that they construct or redevelop and intend to maintain meet the requirements set out in this Part.</w:t>
            </w:r>
          </w:p>
        </w:tc>
        <w:tc>
          <w:tcPr>
            <w:tcW w:w="2298" w:type="dxa"/>
          </w:tcPr>
          <w:p w14:paraId="5AA0527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Complete</w:t>
            </w:r>
          </w:p>
        </w:tc>
        <w:tc>
          <w:tcPr>
            <w:tcW w:w="1667" w:type="dxa"/>
          </w:tcPr>
          <w:p w14:paraId="53898370"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November 25, 2024 – Gatineau store opening</w:t>
            </w:r>
          </w:p>
        </w:tc>
      </w:tr>
      <w:tr w:rsidR="00FC28D5" w14:paraId="172CFF84" w14:textId="77777777" w:rsidTr="00FC28D5">
        <w:trPr>
          <w:trHeight w:val="1702"/>
        </w:trPr>
        <w:tc>
          <w:tcPr>
            <w:cnfStyle w:val="001000000000" w:firstRow="0" w:lastRow="0" w:firstColumn="1" w:lastColumn="0" w:oddVBand="0" w:evenVBand="0" w:oddHBand="0" w:evenHBand="0" w:firstRowFirstColumn="0" w:firstRowLastColumn="0" w:lastRowFirstColumn="0" w:lastRowLastColumn="0"/>
            <w:tcW w:w="2025" w:type="dxa"/>
          </w:tcPr>
          <w:p w14:paraId="379C5F51" w14:textId="77777777" w:rsidR="00FC28D5" w:rsidRDefault="00000000">
            <w:pPr>
              <w:rPr>
                <w:rFonts w:ascii="Gotham" w:eastAsia="Gotham" w:hAnsi="Gotham" w:cs="Gotham"/>
                <w:sz w:val="22"/>
                <w:szCs w:val="22"/>
              </w:rPr>
            </w:pPr>
            <w:r>
              <w:rPr>
                <w:rFonts w:ascii="Gotham" w:eastAsia="Gotham" w:hAnsi="Gotham" w:cs="Gotham"/>
                <w:sz w:val="22"/>
                <w:szCs w:val="22"/>
              </w:rPr>
              <w:t>Parking</w:t>
            </w:r>
          </w:p>
        </w:tc>
        <w:tc>
          <w:tcPr>
            <w:tcW w:w="4843" w:type="dxa"/>
          </w:tcPr>
          <w:p w14:paraId="050169C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80.32 Obligated organizations shall ensure that when constructing new or redeveloping off-street parking facilities that they intend to maintain, the off-street parking facilities meet the requirements set out in this Part.</w:t>
            </w:r>
          </w:p>
        </w:tc>
        <w:tc>
          <w:tcPr>
            <w:tcW w:w="2298" w:type="dxa"/>
          </w:tcPr>
          <w:p w14:paraId="2244292D"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Complete</w:t>
            </w:r>
          </w:p>
          <w:p w14:paraId="2BEC5F11"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c>
          <w:tcPr>
            <w:tcW w:w="1667" w:type="dxa"/>
          </w:tcPr>
          <w:p w14:paraId="2607E01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November 25, 2024 – Gatineau store opening</w:t>
            </w:r>
          </w:p>
        </w:tc>
      </w:tr>
      <w:tr w:rsidR="00FC28D5" w14:paraId="3BD08BA3" w14:textId="77777777" w:rsidTr="00FC28D5">
        <w:trPr>
          <w:cnfStyle w:val="000000100000" w:firstRow="0" w:lastRow="0" w:firstColumn="0" w:lastColumn="0" w:oddVBand="0" w:evenVBand="0" w:oddHBand="1" w:evenHBand="0" w:firstRowFirstColumn="0" w:firstRowLastColumn="0" w:lastRowFirstColumn="0" w:lastRowLastColumn="0"/>
          <w:trHeight w:val="4154"/>
        </w:trPr>
        <w:tc>
          <w:tcPr>
            <w:cnfStyle w:val="001000000000" w:firstRow="0" w:lastRow="0" w:firstColumn="1" w:lastColumn="0" w:oddVBand="0" w:evenVBand="0" w:oddHBand="0" w:evenHBand="0" w:firstRowFirstColumn="0" w:firstRowLastColumn="0" w:lastRowFirstColumn="0" w:lastRowLastColumn="0"/>
            <w:tcW w:w="2025" w:type="dxa"/>
          </w:tcPr>
          <w:p w14:paraId="34533C07" w14:textId="77777777" w:rsidR="00FC28D5" w:rsidRDefault="00000000">
            <w:pPr>
              <w:rPr>
                <w:rFonts w:ascii="Gotham" w:eastAsia="Gotham" w:hAnsi="Gotham" w:cs="Gotham"/>
                <w:sz w:val="22"/>
                <w:szCs w:val="22"/>
              </w:rPr>
            </w:pPr>
            <w:r>
              <w:rPr>
                <w:rFonts w:ascii="Gotham" w:eastAsia="Gotham" w:hAnsi="Gotham" w:cs="Gotham"/>
                <w:sz w:val="22"/>
                <w:szCs w:val="22"/>
              </w:rPr>
              <w:t>Service Counters</w:t>
            </w:r>
          </w:p>
        </w:tc>
        <w:tc>
          <w:tcPr>
            <w:tcW w:w="4843" w:type="dxa"/>
          </w:tcPr>
          <w:p w14:paraId="7832A08C"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80.41(1) When constructing new service counters, which includes replacing existing service counters, the following requirements must be met:</w:t>
            </w:r>
          </w:p>
          <w:p w14:paraId="49460A0D"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1EFC83D8"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1.  There must be at a minimum one service counter that accommodates a mobility aid for each type of service provided and the accessible service counter must be clearly identified with signage, where there are multiple queuing lines and service counters.</w:t>
            </w:r>
          </w:p>
          <w:p w14:paraId="585AB741"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B3524E3"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Each service counter must accommodate a mobility aid, where a single queuing line serves a single or multiple counters.</w:t>
            </w:r>
          </w:p>
        </w:tc>
        <w:tc>
          <w:tcPr>
            <w:tcW w:w="2298" w:type="dxa"/>
          </w:tcPr>
          <w:p w14:paraId="30D4DE00"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71556F0D"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Complete</w:t>
            </w:r>
          </w:p>
          <w:p w14:paraId="759249BE"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0824002D"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68278574" w14:textId="77777777" w:rsidR="00FC28D5" w:rsidRDefault="00000000">
            <w:pPr>
              <w:numPr>
                <w:ilvl w:val="0"/>
                <w:numId w:val="2"/>
              </w:numPr>
              <w:pBdr>
                <w:top w:val="nil"/>
                <w:left w:val="nil"/>
                <w:bottom w:val="nil"/>
                <w:right w:val="nil"/>
                <w:between w:val="nil"/>
              </w:pBdr>
              <w:spacing w:line="278" w:lineRule="auto"/>
              <w:cnfStyle w:val="000000100000" w:firstRow="0" w:lastRow="0" w:firstColumn="0" w:lastColumn="0" w:oddVBand="0" w:evenVBand="0" w:oddHBand="1" w:evenHBand="0" w:firstRowFirstColumn="0" w:firstRowLastColumn="0" w:lastRowFirstColumn="0" w:lastRowLastColumn="0"/>
              <w:rPr>
                <w:rFonts w:ascii="Gotham" w:eastAsia="Gotham" w:hAnsi="Gotham" w:cs="Gotham"/>
                <w:color w:val="000000"/>
                <w:sz w:val="22"/>
                <w:szCs w:val="22"/>
              </w:rPr>
            </w:pPr>
            <w:r>
              <w:rPr>
                <w:rFonts w:ascii="Gotham" w:eastAsia="Gotham" w:hAnsi="Gotham" w:cs="Gotham"/>
                <w:sz w:val="22"/>
                <w:szCs w:val="22"/>
              </w:rPr>
              <w:t>Complete</w:t>
            </w:r>
          </w:p>
          <w:p w14:paraId="4F379B71" w14:textId="77777777" w:rsidR="00FC28D5" w:rsidRDefault="00000000">
            <w:pPr>
              <w:numPr>
                <w:ilvl w:val="0"/>
                <w:numId w:val="2"/>
              </w:numPr>
              <w:pBdr>
                <w:top w:val="nil"/>
                <w:left w:val="nil"/>
                <w:bottom w:val="nil"/>
                <w:right w:val="nil"/>
                <w:between w:val="nil"/>
              </w:pBdr>
              <w:spacing w:line="278" w:lineRule="auto"/>
              <w:cnfStyle w:val="000000100000" w:firstRow="0" w:lastRow="0" w:firstColumn="0" w:lastColumn="0" w:oddVBand="0" w:evenVBand="0" w:oddHBand="1" w:evenHBand="0" w:firstRowFirstColumn="0" w:firstRowLastColumn="0" w:lastRowFirstColumn="0" w:lastRowLastColumn="0"/>
              <w:rPr>
                <w:rFonts w:ascii="Gotham" w:eastAsia="Gotham" w:hAnsi="Gotham" w:cs="Gotham"/>
                <w:color w:val="000000"/>
                <w:sz w:val="22"/>
                <w:szCs w:val="22"/>
              </w:rPr>
            </w:pPr>
            <w:r>
              <w:rPr>
                <w:rFonts w:ascii="Gotham" w:eastAsia="Gotham" w:hAnsi="Gotham" w:cs="Gotham"/>
                <w:sz w:val="22"/>
                <w:szCs w:val="22"/>
              </w:rPr>
              <w:t>Complete</w:t>
            </w:r>
          </w:p>
          <w:p w14:paraId="235311E6" w14:textId="77777777" w:rsidR="00FC28D5" w:rsidRDefault="00FC28D5">
            <w:pPr>
              <w:pBdr>
                <w:top w:val="nil"/>
                <w:left w:val="nil"/>
                <w:bottom w:val="nil"/>
                <w:right w:val="nil"/>
                <w:between w:val="nil"/>
              </w:pBdr>
              <w:spacing w:after="160" w:line="278" w:lineRule="auto"/>
              <w:ind w:left="720"/>
              <w:cnfStyle w:val="000000100000" w:firstRow="0" w:lastRow="0" w:firstColumn="0" w:lastColumn="0" w:oddVBand="0" w:evenVBand="0" w:oddHBand="1" w:evenHBand="0" w:firstRowFirstColumn="0" w:firstRowLastColumn="0" w:lastRowFirstColumn="0" w:lastRowLastColumn="0"/>
              <w:rPr>
                <w:rFonts w:ascii="Gotham" w:eastAsia="Gotham" w:hAnsi="Gotham" w:cs="Gotham"/>
                <w:color w:val="000000"/>
                <w:sz w:val="22"/>
                <w:szCs w:val="22"/>
              </w:rPr>
            </w:pPr>
          </w:p>
        </w:tc>
        <w:tc>
          <w:tcPr>
            <w:tcW w:w="1667" w:type="dxa"/>
          </w:tcPr>
          <w:p w14:paraId="44E261D9"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November 25, 2024 – Gatineau store opening</w:t>
            </w:r>
          </w:p>
        </w:tc>
      </w:tr>
    </w:tbl>
    <w:p w14:paraId="4A89C2D5" w14:textId="77777777" w:rsidR="00FC28D5" w:rsidRDefault="00FC28D5"/>
    <w:p w14:paraId="22043E52" w14:textId="77777777" w:rsidR="00FC28D5" w:rsidRDefault="00000000">
      <w:pPr>
        <w:pStyle w:val="Heading3"/>
      </w:pPr>
      <w:r>
        <w:t>PART V – Customer Service</w:t>
      </w:r>
    </w:p>
    <w:tbl>
      <w:tblPr>
        <w:tblStyle w:val="ad"/>
        <w:tblW w:w="108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39"/>
        <w:gridCol w:w="4815"/>
        <w:gridCol w:w="2310"/>
        <w:gridCol w:w="1666"/>
      </w:tblGrid>
      <w:tr w:rsidR="00FC28D5" w14:paraId="44FC78F9" w14:textId="77777777" w:rsidTr="00FC2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17D79A92" w14:textId="77777777" w:rsidR="00FC28D5" w:rsidRDefault="00000000">
            <w:pPr>
              <w:jc w:val="center"/>
              <w:rPr>
                <w:rFonts w:ascii="Gotham" w:eastAsia="Gotham" w:hAnsi="Gotham" w:cs="Gotham"/>
                <w:sz w:val="22"/>
                <w:szCs w:val="22"/>
              </w:rPr>
            </w:pPr>
            <w:r>
              <w:rPr>
                <w:rFonts w:ascii="Gotham" w:eastAsia="Gotham" w:hAnsi="Gotham" w:cs="Gotham"/>
                <w:b w:val="0"/>
                <w:sz w:val="22"/>
                <w:szCs w:val="22"/>
              </w:rPr>
              <w:t>Initiative</w:t>
            </w:r>
          </w:p>
        </w:tc>
        <w:tc>
          <w:tcPr>
            <w:tcW w:w="4815" w:type="dxa"/>
          </w:tcPr>
          <w:p w14:paraId="45519128"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Description</w:t>
            </w:r>
          </w:p>
        </w:tc>
        <w:tc>
          <w:tcPr>
            <w:tcW w:w="2310" w:type="dxa"/>
          </w:tcPr>
          <w:p w14:paraId="653A7542"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Action</w:t>
            </w:r>
          </w:p>
        </w:tc>
        <w:tc>
          <w:tcPr>
            <w:tcW w:w="1666" w:type="dxa"/>
          </w:tcPr>
          <w:p w14:paraId="0EB15AFE" w14:textId="77777777" w:rsidR="00FC28D5" w:rsidRDefault="00000000">
            <w:pPr>
              <w:jc w:val="center"/>
              <w:cnfStyle w:val="100000000000" w:firstRow="1"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b w:val="0"/>
                <w:sz w:val="22"/>
                <w:szCs w:val="22"/>
              </w:rPr>
              <w:t>Compliance Date - AODA</w:t>
            </w:r>
          </w:p>
        </w:tc>
      </w:tr>
      <w:tr w:rsidR="00FC28D5" w14:paraId="1FC1D692"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vMerge w:val="restart"/>
          </w:tcPr>
          <w:p w14:paraId="24B9B2DD" w14:textId="77777777" w:rsidR="00FC28D5" w:rsidRDefault="00FC28D5">
            <w:pPr>
              <w:rPr>
                <w:rFonts w:ascii="Gotham" w:eastAsia="Gotham" w:hAnsi="Gotham" w:cs="Gotham"/>
                <w:sz w:val="22"/>
                <w:szCs w:val="22"/>
              </w:rPr>
            </w:pPr>
          </w:p>
          <w:p w14:paraId="030F89ED" w14:textId="77777777" w:rsidR="00FC28D5" w:rsidRDefault="00FC28D5"/>
          <w:p w14:paraId="062B0113" w14:textId="77777777" w:rsidR="00FC28D5" w:rsidRDefault="00FC28D5"/>
          <w:p w14:paraId="3AD4DD51" w14:textId="77777777" w:rsidR="00FC28D5" w:rsidRDefault="00FC28D5"/>
          <w:p w14:paraId="133B4BBC" w14:textId="77777777" w:rsidR="00FC28D5" w:rsidRDefault="00FC28D5"/>
          <w:p w14:paraId="64D518ED" w14:textId="77777777" w:rsidR="00FC28D5" w:rsidRDefault="00FC28D5"/>
          <w:p w14:paraId="5E2A2DB0" w14:textId="77777777" w:rsidR="00FC28D5" w:rsidRDefault="00FC28D5"/>
          <w:p w14:paraId="1327A0DE" w14:textId="77777777" w:rsidR="00FC28D5" w:rsidRDefault="00FC28D5"/>
          <w:p w14:paraId="725315A6" w14:textId="77777777" w:rsidR="00FC28D5" w:rsidRDefault="00FC28D5"/>
          <w:p w14:paraId="78727990" w14:textId="77777777" w:rsidR="00FC28D5" w:rsidRDefault="00FC28D5"/>
          <w:p w14:paraId="5AAE77AE" w14:textId="77777777" w:rsidR="00FC28D5" w:rsidRDefault="00FC28D5"/>
          <w:p w14:paraId="72323D7A" w14:textId="77777777" w:rsidR="00FC28D5" w:rsidRDefault="00FC28D5"/>
          <w:p w14:paraId="0C6D6769" w14:textId="77777777" w:rsidR="00FC28D5" w:rsidRDefault="00FC28D5"/>
          <w:p w14:paraId="5C24E4CF" w14:textId="77777777" w:rsidR="00FC28D5" w:rsidRDefault="00FC28D5"/>
          <w:p w14:paraId="0E6AC5D9" w14:textId="77777777" w:rsidR="00FC28D5" w:rsidRDefault="00FC28D5"/>
          <w:p w14:paraId="3134D7D8" w14:textId="77777777" w:rsidR="00FC28D5" w:rsidRDefault="00FC28D5"/>
          <w:p w14:paraId="53495448" w14:textId="77777777" w:rsidR="00FC28D5" w:rsidRDefault="00FC28D5"/>
          <w:p w14:paraId="3F332DB1" w14:textId="77777777" w:rsidR="00FC28D5" w:rsidRDefault="00FC28D5"/>
          <w:p w14:paraId="296CA97B" w14:textId="77777777" w:rsidR="00FC28D5" w:rsidRDefault="00FC28D5"/>
          <w:p w14:paraId="48AEA6C7" w14:textId="77777777" w:rsidR="00FC28D5" w:rsidRDefault="00FC28D5"/>
          <w:p w14:paraId="6F410AFD" w14:textId="77777777" w:rsidR="00FC28D5" w:rsidRDefault="00FC28D5"/>
          <w:p w14:paraId="2D4F7EED" w14:textId="77777777" w:rsidR="00FC28D5" w:rsidRDefault="00FC28D5"/>
          <w:p w14:paraId="5DC51D0B" w14:textId="77777777" w:rsidR="00FC28D5" w:rsidRDefault="00FC28D5"/>
          <w:p w14:paraId="6DF80BC1" w14:textId="77777777" w:rsidR="00FC28D5" w:rsidRDefault="00FC28D5"/>
          <w:p w14:paraId="5FE7E65E" w14:textId="77777777" w:rsidR="00FC28D5" w:rsidRDefault="00FC28D5"/>
          <w:p w14:paraId="5E7D9CB5" w14:textId="77777777" w:rsidR="00FC28D5" w:rsidRDefault="00000000">
            <w:pPr>
              <w:rPr>
                <w:rFonts w:ascii="Gotham" w:eastAsia="Gotham" w:hAnsi="Gotham" w:cs="Gotham"/>
                <w:sz w:val="22"/>
                <w:szCs w:val="22"/>
              </w:rPr>
            </w:pPr>
            <w:r>
              <w:rPr>
                <w:rFonts w:ascii="Gotham" w:eastAsia="Gotham" w:hAnsi="Gotham" w:cs="Gotham"/>
                <w:sz w:val="22"/>
                <w:szCs w:val="22"/>
              </w:rPr>
              <w:t>Implement Customer Service Policy</w:t>
            </w:r>
          </w:p>
        </w:tc>
        <w:tc>
          <w:tcPr>
            <w:tcW w:w="4815" w:type="dxa"/>
            <w:shd w:val="clear" w:color="auto" w:fill="F3F3F3"/>
          </w:tcPr>
          <w:p w14:paraId="13F1AF90"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80.46(1) In addition to the requirements in section 3, every provider shall develop, implement and maintain policies governing its provision of goods, services or facilities, as the case may be, to persons with disabilities.</w:t>
            </w:r>
          </w:p>
          <w:p w14:paraId="39E8D8B1"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br/>
              <w:t>(2) The provider shall use reasonable efforts to ensure that the policies are consistent with the following principles:</w:t>
            </w:r>
          </w:p>
          <w:p w14:paraId="34CDCCAD"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5631E289"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1.  The goods, services or facilities must be provided in a manner that respects the dignity and independence of persons with disabilities.</w:t>
            </w:r>
          </w:p>
          <w:p w14:paraId="52CC8BDE"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0C1EA549"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2.  The provision of goods, services or facilities to persons with disabilities must be integrated with the provision of goods, services or facilities to others, unless an alternative measure is necessary, whether temporarily or on a permanent basis, to enable a person with a disability to obtain, use or benefit from the goods, services or facilities.</w:t>
            </w:r>
          </w:p>
          <w:p w14:paraId="0EB788A3"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320181A6"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  Persons with disabilities must be given an opportunity equal to that given to others to obtain, use and benefit from the goods, services or facilities.</w:t>
            </w:r>
          </w:p>
          <w:p w14:paraId="7ED78C20"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E27AB20"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4.  When communicating with a person with a disability, the provider shall do so in a manner that takes into account the person’s disability.</w:t>
            </w:r>
          </w:p>
          <w:p w14:paraId="42DCBC12"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927E963"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7B31558D"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 Without limiting subsections (1) and (2), the policies must deal with the use of assistive devices by persons with disabilities to obtain, use or benefit from the goods, services or facilities or with the availability of other measures, if any, which enable them to do so</w:t>
            </w:r>
          </w:p>
          <w:p w14:paraId="2EABF337"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c>
          <w:tcPr>
            <w:tcW w:w="2310" w:type="dxa"/>
            <w:shd w:val="clear" w:color="auto" w:fill="F3F3F3"/>
          </w:tcPr>
          <w:p w14:paraId="159E5B87"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Policy identified within Handbook &amp; training</w:t>
            </w:r>
          </w:p>
        </w:tc>
        <w:tc>
          <w:tcPr>
            <w:tcW w:w="1666" w:type="dxa"/>
            <w:shd w:val="clear" w:color="auto" w:fill="F3F3F3"/>
          </w:tcPr>
          <w:p w14:paraId="7729F5A6"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tc>
      </w:tr>
      <w:tr w:rsidR="00FC28D5" w14:paraId="0895CC53" w14:textId="77777777" w:rsidTr="00FC28D5">
        <w:tc>
          <w:tcPr>
            <w:cnfStyle w:val="001000000000" w:firstRow="0" w:lastRow="0" w:firstColumn="1" w:lastColumn="0" w:oddVBand="0" w:evenVBand="0" w:oddHBand="0" w:evenHBand="0" w:firstRowFirstColumn="0" w:firstRowLastColumn="0" w:lastRowFirstColumn="0" w:lastRowLastColumn="0"/>
            <w:tcW w:w="2039" w:type="dxa"/>
            <w:vMerge/>
          </w:tcPr>
          <w:p w14:paraId="6A515CDA"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815" w:type="dxa"/>
            <w:shd w:val="clear" w:color="auto" w:fill="F3F3F3"/>
          </w:tcPr>
          <w:p w14:paraId="4E6411C7"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(4) Every provider, other than a small organization, shall prepare one or more documents describing the policies established under this section and, on request, shall give a copy of any such document to any person.</w:t>
            </w:r>
          </w:p>
        </w:tc>
        <w:tc>
          <w:tcPr>
            <w:tcW w:w="2310" w:type="dxa"/>
            <w:shd w:val="clear" w:color="auto" w:fill="F3F3F3"/>
          </w:tcPr>
          <w:p w14:paraId="700ADF6C"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Identified within Handbook &amp; </w:t>
            </w:r>
            <w:hyperlink r:id="rId22">
              <w:r>
                <w:rPr>
                  <w:rFonts w:ascii="Gotham" w:eastAsia="Gotham" w:hAnsi="Gotham" w:cs="Gotham"/>
                  <w:color w:val="1155CC"/>
                  <w:sz w:val="22"/>
                  <w:szCs w:val="22"/>
                  <w:u w:val="single"/>
                </w:rPr>
                <w:t>Policy on the website</w:t>
              </w:r>
            </w:hyperlink>
          </w:p>
        </w:tc>
        <w:tc>
          <w:tcPr>
            <w:tcW w:w="1666" w:type="dxa"/>
            <w:shd w:val="clear" w:color="auto" w:fill="F3F3F3"/>
          </w:tcPr>
          <w:p w14:paraId="6C2A3428"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2A1FE163"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24165A60"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 31, 2025 – </w:t>
            </w:r>
            <w:hyperlink r:id="rId23">
              <w:r>
                <w:rPr>
                  <w:rFonts w:ascii="Gotham" w:eastAsia="Gotham" w:hAnsi="Gotham" w:cs="Gotham"/>
                  <w:color w:val="1155CC"/>
                  <w:sz w:val="22"/>
                  <w:szCs w:val="22"/>
                  <w:u w:val="single"/>
                </w:rPr>
                <w:t>Policy on the website</w:t>
              </w:r>
            </w:hyperlink>
            <w:r>
              <w:rPr>
                <w:rFonts w:ascii="Gotham" w:eastAsia="Gotham" w:hAnsi="Gotham" w:cs="Gotham"/>
                <w:sz w:val="22"/>
                <w:szCs w:val="22"/>
              </w:rPr>
              <w:t>, updated August 28, 2025</w:t>
            </w:r>
          </w:p>
        </w:tc>
      </w:tr>
      <w:tr w:rsidR="00FC28D5" w14:paraId="684F0F95"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vMerge/>
          </w:tcPr>
          <w:p w14:paraId="75CC4F83" w14:textId="77777777" w:rsidR="00FC28D5" w:rsidRDefault="00FC28D5">
            <w:pPr>
              <w:widowControl w:val="0"/>
              <w:pBdr>
                <w:top w:val="nil"/>
                <w:left w:val="nil"/>
                <w:bottom w:val="nil"/>
                <w:right w:val="nil"/>
                <w:between w:val="nil"/>
              </w:pBdr>
              <w:spacing w:line="276" w:lineRule="auto"/>
              <w:rPr>
                <w:rFonts w:ascii="Gotham" w:eastAsia="Gotham" w:hAnsi="Gotham" w:cs="Gotham"/>
                <w:sz w:val="22"/>
                <w:szCs w:val="22"/>
              </w:rPr>
            </w:pPr>
          </w:p>
        </w:tc>
        <w:tc>
          <w:tcPr>
            <w:tcW w:w="4815" w:type="dxa"/>
            <w:shd w:val="clear" w:color="auto" w:fill="F3F3F3"/>
          </w:tcPr>
          <w:p w14:paraId="3A1339B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(5) Every provider, other than a small organization, shall notify persons to whom it provides goods, services or facilities that the documents required by subsection (4) are available on request.</w:t>
            </w:r>
          </w:p>
        </w:tc>
        <w:tc>
          <w:tcPr>
            <w:tcW w:w="2310" w:type="dxa"/>
            <w:shd w:val="clear" w:color="auto" w:fill="F3F3F3"/>
          </w:tcPr>
          <w:p w14:paraId="0E9B101C"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Identified within </w:t>
            </w:r>
            <w:hyperlink r:id="rId24">
              <w:r>
                <w:rPr>
                  <w:rFonts w:ascii="Gotham" w:eastAsia="Gotham" w:hAnsi="Gotham" w:cs="Gotham"/>
                  <w:color w:val="1155CC"/>
                  <w:sz w:val="22"/>
                  <w:szCs w:val="22"/>
                  <w:u w:val="single"/>
                </w:rPr>
                <w:t>Policy on the website</w:t>
              </w:r>
            </w:hyperlink>
          </w:p>
        </w:tc>
        <w:tc>
          <w:tcPr>
            <w:tcW w:w="1666" w:type="dxa"/>
            <w:shd w:val="clear" w:color="auto" w:fill="F3F3F3"/>
          </w:tcPr>
          <w:p w14:paraId="6DC5ACBB"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 31, 2025 – </w:t>
            </w:r>
            <w:hyperlink r:id="rId25">
              <w:r>
                <w:rPr>
                  <w:rFonts w:ascii="Gotham" w:eastAsia="Gotham" w:hAnsi="Gotham" w:cs="Gotham"/>
                  <w:color w:val="1155CC"/>
                  <w:sz w:val="22"/>
                  <w:szCs w:val="22"/>
                  <w:u w:val="single"/>
                </w:rPr>
                <w:t>Policy on the website</w:t>
              </w:r>
            </w:hyperlink>
            <w:r>
              <w:rPr>
                <w:rFonts w:ascii="Gotham" w:eastAsia="Gotham" w:hAnsi="Gotham" w:cs="Gotham"/>
                <w:sz w:val="22"/>
                <w:szCs w:val="22"/>
              </w:rPr>
              <w:t>, updated August 28, 2025</w:t>
            </w:r>
          </w:p>
          <w:p w14:paraId="5380625E"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7F4A814B"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7235E3FD" w14:textId="77777777" w:rsidTr="00FC28D5">
        <w:tc>
          <w:tcPr>
            <w:cnfStyle w:val="001000000000" w:firstRow="0" w:lastRow="0" w:firstColumn="1" w:lastColumn="0" w:oddVBand="0" w:evenVBand="0" w:oddHBand="0" w:evenHBand="0" w:firstRowFirstColumn="0" w:firstRowLastColumn="0" w:lastRowFirstColumn="0" w:lastRowLastColumn="0"/>
            <w:tcW w:w="2039" w:type="dxa"/>
          </w:tcPr>
          <w:p w14:paraId="3C15B234" w14:textId="77777777" w:rsidR="00FC28D5" w:rsidRDefault="00000000">
            <w:pPr>
              <w:rPr>
                <w:rFonts w:ascii="Gotham" w:eastAsia="Gotham" w:hAnsi="Gotham" w:cs="Gotham"/>
                <w:sz w:val="22"/>
                <w:szCs w:val="22"/>
              </w:rPr>
            </w:pPr>
            <w:r>
              <w:rPr>
                <w:rFonts w:ascii="Gotham" w:eastAsia="Gotham" w:hAnsi="Gotham" w:cs="Gotham"/>
                <w:sz w:val="22"/>
                <w:szCs w:val="22"/>
              </w:rPr>
              <w:t>Service Animals</w:t>
            </w:r>
          </w:p>
        </w:tc>
        <w:tc>
          <w:tcPr>
            <w:tcW w:w="4815" w:type="dxa"/>
          </w:tcPr>
          <w:p w14:paraId="27623E06"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80.47(2) If a person with a disability is accompanied by a guide dog or other service animal, the provider shall ensure that the person is permitted to enter the </w:t>
            </w:r>
            <w:r>
              <w:rPr>
                <w:rFonts w:ascii="Gotham" w:eastAsia="Gotham" w:hAnsi="Gotham" w:cs="Gotham"/>
                <w:sz w:val="22"/>
                <w:szCs w:val="22"/>
              </w:rPr>
              <w:lastRenderedPageBreak/>
              <w:t>premises with the animal and to keep the animal with him or her, unless the animal is otherwise excluded by law from the premises.</w:t>
            </w:r>
          </w:p>
        </w:tc>
        <w:tc>
          <w:tcPr>
            <w:tcW w:w="2310" w:type="dxa"/>
          </w:tcPr>
          <w:p w14:paraId="7EF22A71"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 xml:space="preserve">Identified within Handbook and </w:t>
            </w:r>
            <w:hyperlink r:id="rId26">
              <w:r>
                <w:rPr>
                  <w:rFonts w:ascii="Gotham" w:eastAsia="Gotham" w:hAnsi="Gotham" w:cs="Gotham"/>
                  <w:color w:val="1155CC"/>
                  <w:sz w:val="22"/>
                  <w:szCs w:val="22"/>
                  <w:u w:val="single"/>
                </w:rPr>
                <w:t>Policy on the website</w:t>
              </w:r>
            </w:hyperlink>
          </w:p>
        </w:tc>
        <w:tc>
          <w:tcPr>
            <w:tcW w:w="1666" w:type="dxa"/>
          </w:tcPr>
          <w:p w14:paraId="2B532F15"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31420009"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4C083714"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 31, 2025 – </w:t>
            </w:r>
            <w:hyperlink r:id="rId27">
              <w:r>
                <w:rPr>
                  <w:rFonts w:ascii="Gotham" w:eastAsia="Gotham" w:hAnsi="Gotham" w:cs="Gotham"/>
                  <w:color w:val="1155CC"/>
                  <w:sz w:val="22"/>
                  <w:szCs w:val="22"/>
                  <w:u w:val="single"/>
                </w:rPr>
                <w:t>Policy on the website</w:t>
              </w:r>
            </w:hyperlink>
            <w:r>
              <w:rPr>
                <w:rFonts w:ascii="Gotham" w:eastAsia="Gotham" w:hAnsi="Gotham" w:cs="Gotham"/>
                <w:sz w:val="22"/>
                <w:szCs w:val="22"/>
              </w:rPr>
              <w:t>, updated August 28, 2025</w:t>
            </w:r>
          </w:p>
        </w:tc>
      </w:tr>
      <w:tr w:rsidR="00FC28D5" w14:paraId="66A4DC4F"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18784611" w14:textId="77777777" w:rsidR="00FC28D5" w:rsidRDefault="00000000">
            <w:pPr>
              <w:rPr>
                <w:rFonts w:ascii="Gotham" w:eastAsia="Gotham" w:hAnsi="Gotham" w:cs="Gotham"/>
                <w:sz w:val="22"/>
                <w:szCs w:val="22"/>
              </w:rPr>
            </w:pPr>
            <w:r>
              <w:rPr>
                <w:rFonts w:ascii="Gotham" w:eastAsia="Gotham" w:hAnsi="Gotham" w:cs="Gotham"/>
                <w:sz w:val="22"/>
                <w:szCs w:val="22"/>
              </w:rPr>
              <w:lastRenderedPageBreak/>
              <w:t>Support Persons</w:t>
            </w:r>
          </w:p>
        </w:tc>
        <w:tc>
          <w:tcPr>
            <w:tcW w:w="4815" w:type="dxa"/>
          </w:tcPr>
          <w:p w14:paraId="5924B5E4"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80.47(4) If a person with a disability is accompanied by a support person, the provider shall ensure that both persons are permitted to enter the premises together and that the person with a disability is not prevented from having access to the support person while on the premises.</w:t>
            </w:r>
          </w:p>
          <w:p w14:paraId="7062E31D"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1CAFAFF8"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(5) The provider may require a person with a disability to be accompanied by a support person when on the premises, but only if, after consulting with the person with a disability and considering the available evidence, the provider determines that,</w:t>
            </w:r>
          </w:p>
          <w:p w14:paraId="1AFE8E3E"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32A3AF80"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  a support person is necessary to protect the health or safety of the person with a disability or the health or safety of others on the premises; and</w:t>
            </w:r>
          </w:p>
          <w:p w14:paraId="4C908635"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5F798EBF"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(b)  there is no other reasonable way to protect the health or safety of the person with a disability and the health or safety of others on the premises.</w:t>
            </w:r>
          </w:p>
          <w:p w14:paraId="55661A04"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4900E31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(6) If an amount is payable for a person’s admission to the premises or in connection with a person’s presence on the premises, the provider shall ensure that notice is given in advance about the amount, if any, payable in respect of the support person.</w:t>
            </w:r>
          </w:p>
          <w:p w14:paraId="4215E3AB"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5CCBF4EE"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(7) If, under subsection (5), the provider requires a person with a disability to be accompanied by a support person when on the premises, the provider shall waive payment of the amount, if any, payable in respect of the support person’s admission to the premises or in connection with the support person’s presence on the premises.</w:t>
            </w:r>
          </w:p>
        </w:tc>
        <w:tc>
          <w:tcPr>
            <w:tcW w:w="2310" w:type="dxa"/>
          </w:tcPr>
          <w:p w14:paraId="17803830"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Identified within Handbook and </w:t>
            </w:r>
            <w:hyperlink r:id="rId28">
              <w:r>
                <w:rPr>
                  <w:rFonts w:ascii="Gotham" w:eastAsia="Gotham" w:hAnsi="Gotham" w:cs="Gotham"/>
                  <w:color w:val="1155CC"/>
                  <w:sz w:val="22"/>
                  <w:szCs w:val="22"/>
                  <w:u w:val="single"/>
                </w:rPr>
                <w:t>Policy on the website</w:t>
              </w:r>
            </w:hyperlink>
          </w:p>
        </w:tc>
        <w:tc>
          <w:tcPr>
            <w:tcW w:w="1666" w:type="dxa"/>
          </w:tcPr>
          <w:p w14:paraId="2CF8483B"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4BF7BB27"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 </w:t>
            </w:r>
          </w:p>
          <w:p w14:paraId="79D39816"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457E8ACA"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 31, 2025 – </w:t>
            </w:r>
            <w:hyperlink r:id="rId29">
              <w:r>
                <w:rPr>
                  <w:rFonts w:ascii="Gotham" w:eastAsia="Gotham" w:hAnsi="Gotham" w:cs="Gotham"/>
                  <w:color w:val="1155CC"/>
                  <w:sz w:val="22"/>
                  <w:szCs w:val="22"/>
                  <w:u w:val="single"/>
                </w:rPr>
                <w:t>Policy on the website</w:t>
              </w:r>
            </w:hyperlink>
            <w:r>
              <w:rPr>
                <w:rFonts w:ascii="Gotham" w:eastAsia="Gotham" w:hAnsi="Gotham" w:cs="Gotham"/>
                <w:sz w:val="22"/>
                <w:szCs w:val="22"/>
              </w:rPr>
              <w:t>, updated August 28, 2025</w:t>
            </w:r>
          </w:p>
          <w:p w14:paraId="229F3888"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51488861"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7071D180" w14:textId="77777777" w:rsidTr="00FC28D5">
        <w:tc>
          <w:tcPr>
            <w:cnfStyle w:val="001000000000" w:firstRow="0" w:lastRow="0" w:firstColumn="1" w:lastColumn="0" w:oddVBand="0" w:evenVBand="0" w:oddHBand="0" w:evenHBand="0" w:firstRowFirstColumn="0" w:firstRowLastColumn="0" w:lastRowFirstColumn="0" w:lastRowLastColumn="0"/>
            <w:tcW w:w="2039" w:type="dxa"/>
          </w:tcPr>
          <w:p w14:paraId="5DA4B231" w14:textId="77777777" w:rsidR="00FC28D5" w:rsidRDefault="00000000">
            <w:pPr>
              <w:rPr>
                <w:rFonts w:ascii="Gotham" w:eastAsia="Gotham" w:hAnsi="Gotham" w:cs="Gotham"/>
                <w:sz w:val="22"/>
                <w:szCs w:val="22"/>
              </w:rPr>
            </w:pPr>
            <w:r>
              <w:rPr>
                <w:rFonts w:ascii="Gotham" w:eastAsia="Gotham" w:hAnsi="Gotham" w:cs="Gotham"/>
                <w:sz w:val="22"/>
                <w:szCs w:val="22"/>
              </w:rPr>
              <w:lastRenderedPageBreak/>
              <w:t>Notice of Temporary Disruptions</w:t>
            </w:r>
          </w:p>
        </w:tc>
        <w:tc>
          <w:tcPr>
            <w:tcW w:w="4815" w:type="dxa"/>
          </w:tcPr>
          <w:p w14:paraId="1254E66F"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80.48(1) If, in order to obtain, use or benefit from a provider’s goods, services or facilities, persons with disabilities usually use other particular facilities or services of the provider and if there is a temporary disruption in those other facilities or services in whole or in part, the provider shall give notice of the disruption to the public.</w:t>
            </w:r>
          </w:p>
          <w:p w14:paraId="5E18E1A0"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7B94A4E4"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Notice of the disruption must include the reason for the disruption, its anticipated duration and a description of alternative facilities or services, if any, that are available.</w:t>
            </w:r>
          </w:p>
        </w:tc>
        <w:tc>
          <w:tcPr>
            <w:tcW w:w="2310" w:type="dxa"/>
          </w:tcPr>
          <w:p w14:paraId="1086C301"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1CF3C0B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Notices of temporary disruptions released as required</w:t>
            </w:r>
          </w:p>
        </w:tc>
        <w:tc>
          <w:tcPr>
            <w:tcW w:w="1666" w:type="dxa"/>
          </w:tcPr>
          <w:p w14:paraId="4E355E5C"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July 21, 2025 – </w:t>
            </w:r>
            <w:hyperlink r:id="rId30">
              <w:r>
                <w:rPr>
                  <w:rFonts w:ascii="Gotham" w:eastAsia="Gotham" w:hAnsi="Gotham" w:cs="Gotham"/>
                  <w:color w:val="1155CC"/>
                  <w:sz w:val="22"/>
                  <w:szCs w:val="22"/>
                  <w:u w:val="single"/>
                </w:rPr>
                <w:t>Policy on the website</w:t>
              </w:r>
            </w:hyperlink>
          </w:p>
        </w:tc>
      </w:tr>
      <w:tr w:rsidR="00FC28D5" w14:paraId="400CD831" w14:textId="77777777" w:rsidTr="00FC2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597F12C9" w14:textId="77777777" w:rsidR="00FC28D5" w:rsidRDefault="00000000">
            <w:pPr>
              <w:rPr>
                <w:rFonts w:ascii="Gotham" w:eastAsia="Gotham" w:hAnsi="Gotham" w:cs="Gotham"/>
                <w:sz w:val="22"/>
                <w:szCs w:val="22"/>
              </w:rPr>
            </w:pPr>
            <w:r>
              <w:rPr>
                <w:rFonts w:ascii="Gotham" w:eastAsia="Gotham" w:hAnsi="Gotham" w:cs="Gotham"/>
                <w:sz w:val="22"/>
                <w:szCs w:val="22"/>
              </w:rPr>
              <w:t>Training</w:t>
            </w:r>
          </w:p>
        </w:tc>
        <w:tc>
          <w:tcPr>
            <w:tcW w:w="4815" w:type="dxa"/>
          </w:tcPr>
          <w:p w14:paraId="7B008973"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80.49(1) In addition to the requirements in section 7, every provider shall ensure that the following persons receive training about the provision of the provider’s goods, services or facilities, as the case may be, to persons with disabilities:</w:t>
            </w:r>
          </w:p>
          <w:p w14:paraId="5EA5F836"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0301DFD"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1.  Every person who is an employee of, or a volunteer with, the provider.</w:t>
            </w:r>
          </w:p>
          <w:p w14:paraId="70FB3BBD"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712FB0C7"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Every person who participates in developing the provider’s policies.</w:t>
            </w:r>
          </w:p>
          <w:p w14:paraId="4D9DAA85"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34A37D45"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3.  Every other person who provides goods, services or facilities on behalf of the provider.</w:t>
            </w:r>
          </w:p>
          <w:p w14:paraId="7F098872"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BC46916"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The training must include a review of the purposes of the Act and the requirements of this Part and instruction about the following matters:</w:t>
            </w:r>
          </w:p>
          <w:p w14:paraId="29004B95"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0B605DC3"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1.  How to interact and communicate with persons with various types of disability.</w:t>
            </w:r>
          </w:p>
          <w:p w14:paraId="0AF9B206"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282F3BCA"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2.  How to interact with persons with disabilities who use an assistive device or require the assistance of a guide dog or other service animal or the assistance of a support person.</w:t>
            </w:r>
          </w:p>
          <w:p w14:paraId="37158348"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4F5A4543"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3.  How to use equipment or devices available on the provider’s premises or otherwise provided by the provider that may help with the provision of goods, </w:t>
            </w:r>
            <w:r>
              <w:rPr>
                <w:rFonts w:ascii="Gotham" w:eastAsia="Gotham" w:hAnsi="Gotham" w:cs="Gotham"/>
                <w:sz w:val="22"/>
                <w:szCs w:val="22"/>
              </w:rPr>
              <w:lastRenderedPageBreak/>
              <w:t>services or facilities to a person with a disability.</w:t>
            </w:r>
          </w:p>
          <w:p w14:paraId="551FE897"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442ACD1C"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4.  What to do if a person with a particular type of disability is having difficulty accessing the provider’s goods, services or facilities.</w:t>
            </w:r>
          </w:p>
        </w:tc>
        <w:tc>
          <w:tcPr>
            <w:tcW w:w="2310" w:type="dxa"/>
          </w:tcPr>
          <w:p w14:paraId="390B865C"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lastRenderedPageBreak/>
              <w:t>Identified in Handbook &amp; Onboarding program</w:t>
            </w:r>
          </w:p>
        </w:tc>
        <w:tc>
          <w:tcPr>
            <w:tcW w:w="1666" w:type="dxa"/>
          </w:tcPr>
          <w:p w14:paraId="0A2E5370"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2E43A543"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 </w:t>
            </w:r>
          </w:p>
          <w:p w14:paraId="7427D04E"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p w14:paraId="366F3FCA" w14:textId="77777777" w:rsidR="00FC28D5" w:rsidRDefault="00000000">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Date TBD: Onboarding program rollout</w:t>
            </w:r>
          </w:p>
          <w:p w14:paraId="64EF012C" w14:textId="77777777" w:rsidR="00FC28D5" w:rsidRDefault="00FC28D5">
            <w:pPr>
              <w:cnfStyle w:val="000000100000" w:firstRow="0" w:lastRow="0" w:firstColumn="0" w:lastColumn="0" w:oddVBand="0" w:evenVBand="0" w:oddHBand="1" w:evenHBand="0" w:firstRowFirstColumn="0" w:firstRowLastColumn="0" w:lastRowFirstColumn="0" w:lastRowLastColumn="0"/>
              <w:rPr>
                <w:rFonts w:ascii="Gotham" w:eastAsia="Gotham" w:hAnsi="Gotham" w:cs="Gotham"/>
                <w:sz w:val="22"/>
                <w:szCs w:val="22"/>
              </w:rPr>
            </w:pPr>
          </w:p>
        </w:tc>
      </w:tr>
      <w:tr w:rsidR="00FC28D5" w14:paraId="1090DE27" w14:textId="77777777" w:rsidTr="00FC28D5">
        <w:tc>
          <w:tcPr>
            <w:cnfStyle w:val="001000000000" w:firstRow="0" w:lastRow="0" w:firstColumn="1" w:lastColumn="0" w:oddVBand="0" w:evenVBand="0" w:oddHBand="0" w:evenHBand="0" w:firstRowFirstColumn="0" w:firstRowLastColumn="0" w:lastRowFirstColumn="0" w:lastRowLastColumn="0"/>
            <w:tcW w:w="2039" w:type="dxa"/>
          </w:tcPr>
          <w:p w14:paraId="47CE9629" w14:textId="77777777" w:rsidR="00FC28D5" w:rsidRDefault="00000000">
            <w:pPr>
              <w:rPr>
                <w:rFonts w:ascii="Gotham" w:eastAsia="Gotham" w:hAnsi="Gotham" w:cs="Gotham"/>
                <w:sz w:val="22"/>
                <w:szCs w:val="22"/>
              </w:rPr>
            </w:pPr>
            <w:r>
              <w:rPr>
                <w:rFonts w:ascii="Gotham" w:eastAsia="Gotham" w:hAnsi="Gotham" w:cs="Gotham"/>
                <w:sz w:val="22"/>
                <w:szCs w:val="22"/>
              </w:rPr>
              <w:t>Feedback Process</w:t>
            </w:r>
          </w:p>
        </w:tc>
        <w:tc>
          <w:tcPr>
            <w:tcW w:w="4815" w:type="dxa"/>
          </w:tcPr>
          <w:p w14:paraId="5B636BE0"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80.50(1) Providers shall establish process for receiving and responding to feedback about accessibility</w:t>
            </w:r>
          </w:p>
        </w:tc>
        <w:tc>
          <w:tcPr>
            <w:tcW w:w="2310" w:type="dxa"/>
          </w:tcPr>
          <w:p w14:paraId="102E4712"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Feedback process identified in handbook &amp; </w:t>
            </w:r>
            <w:hyperlink r:id="rId31">
              <w:r>
                <w:rPr>
                  <w:rFonts w:ascii="Gotham" w:eastAsia="Gotham" w:hAnsi="Gotham" w:cs="Gotham"/>
                  <w:color w:val="1155CC"/>
                  <w:sz w:val="22"/>
                  <w:szCs w:val="22"/>
                  <w:u w:val="single"/>
                </w:rPr>
                <w:t>Policy on the website</w:t>
              </w:r>
            </w:hyperlink>
          </w:p>
        </w:tc>
        <w:tc>
          <w:tcPr>
            <w:tcW w:w="1666" w:type="dxa"/>
          </w:tcPr>
          <w:p w14:paraId="5A693715"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11730DA7"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August 11, 2025 – Handbook Rollout</w:t>
            </w:r>
          </w:p>
          <w:p w14:paraId="05DF7E29"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 </w:t>
            </w:r>
          </w:p>
          <w:p w14:paraId="69F7B11A"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p w14:paraId="5E5213DA" w14:textId="77777777" w:rsidR="00FC28D5" w:rsidRDefault="00000000">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r>
              <w:rPr>
                <w:rFonts w:ascii="Gotham" w:eastAsia="Gotham" w:hAnsi="Gotham" w:cs="Gotham"/>
                <w:sz w:val="22"/>
                <w:szCs w:val="22"/>
              </w:rPr>
              <w:t xml:space="preserve">Jul 31, 2025 – </w:t>
            </w:r>
            <w:hyperlink r:id="rId32">
              <w:r>
                <w:rPr>
                  <w:rFonts w:ascii="Gotham" w:eastAsia="Gotham" w:hAnsi="Gotham" w:cs="Gotham"/>
                  <w:color w:val="1155CC"/>
                  <w:sz w:val="22"/>
                  <w:szCs w:val="22"/>
                  <w:u w:val="single"/>
                </w:rPr>
                <w:t>Policy on the website</w:t>
              </w:r>
            </w:hyperlink>
            <w:r>
              <w:rPr>
                <w:rFonts w:ascii="Gotham" w:eastAsia="Gotham" w:hAnsi="Gotham" w:cs="Gotham"/>
                <w:sz w:val="22"/>
                <w:szCs w:val="22"/>
              </w:rPr>
              <w:t>, updated August 28, 2025</w:t>
            </w:r>
          </w:p>
          <w:p w14:paraId="0DD07122" w14:textId="77777777" w:rsidR="00FC28D5" w:rsidRDefault="00FC28D5">
            <w:pPr>
              <w:cnfStyle w:val="000000000000" w:firstRow="0" w:lastRow="0" w:firstColumn="0" w:lastColumn="0" w:oddVBand="0" w:evenVBand="0" w:oddHBand="0" w:evenHBand="0" w:firstRowFirstColumn="0" w:firstRowLastColumn="0" w:lastRowFirstColumn="0" w:lastRowLastColumn="0"/>
              <w:rPr>
                <w:rFonts w:ascii="Gotham" w:eastAsia="Gotham" w:hAnsi="Gotham" w:cs="Gotham"/>
                <w:sz w:val="22"/>
                <w:szCs w:val="22"/>
              </w:rPr>
            </w:pPr>
          </w:p>
        </w:tc>
      </w:tr>
    </w:tbl>
    <w:p w14:paraId="20A72582" w14:textId="77777777" w:rsidR="00FC28D5" w:rsidRDefault="00FC28D5">
      <w:pPr>
        <w:keepNext/>
        <w:keepLines/>
        <w:pBdr>
          <w:top w:val="nil"/>
          <w:left w:val="nil"/>
          <w:bottom w:val="nil"/>
          <w:right w:val="nil"/>
          <w:between w:val="nil"/>
        </w:pBdr>
        <w:spacing w:after="0"/>
        <w:jc w:val="both"/>
        <w:rPr>
          <w:rFonts w:ascii="Gotham" w:eastAsia="Gotham" w:hAnsi="Gotham" w:cs="Gotham"/>
          <w:color w:val="000000"/>
          <w:sz w:val="22"/>
          <w:szCs w:val="22"/>
        </w:rPr>
      </w:pPr>
    </w:p>
    <w:p w14:paraId="4756AD90" w14:textId="77777777" w:rsidR="00FC28D5" w:rsidRDefault="00000000">
      <w:pPr>
        <w:pStyle w:val="Heading3"/>
      </w:pPr>
      <w:r>
        <w:t>MONITORING, REPORTING AND REVIEW</w:t>
      </w:r>
    </w:p>
    <w:p w14:paraId="634D5623" w14:textId="77777777" w:rsidR="00FC28D5" w:rsidRDefault="00000000">
      <w:pPr>
        <w:pBdr>
          <w:top w:val="nil"/>
          <w:left w:val="nil"/>
          <w:bottom w:val="nil"/>
          <w:right w:val="nil"/>
          <w:between w:val="nil"/>
        </w:pBdr>
        <w:spacing w:line="240" w:lineRule="auto"/>
        <w:jc w:val="both"/>
        <w:rPr>
          <w:rFonts w:ascii="Gotham" w:eastAsia="Gotham" w:hAnsi="Gotham" w:cs="Gotham"/>
          <w:color w:val="000000"/>
          <w:sz w:val="22"/>
          <w:szCs w:val="22"/>
        </w:rPr>
      </w:pPr>
      <w:r>
        <w:rPr>
          <w:rFonts w:ascii="Gotham" w:eastAsia="Gotham" w:hAnsi="Gotham" w:cs="Gotham"/>
          <w:color w:val="000000"/>
          <w:sz w:val="22"/>
          <w:szCs w:val="22"/>
        </w:rPr>
        <w:t>Progress against this plan is reviewed every five years and as needed by senior management, and updated as required by legislation or operational changes. Progress is monitored through:</w:t>
      </w:r>
    </w:p>
    <w:p w14:paraId="28EE5AFA" w14:textId="77777777" w:rsidR="00FC28D5" w:rsidRDefault="00000000">
      <w:pPr>
        <w:numPr>
          <w:ilvl w:val="0"/>
          <w:numId w:val="1"/>
        </w:numPr>
        <w:spacing w:before="280" w:after="0" w:line="240" w:lineRule="auto"/>
        <w:jc w:val="both"/>
        <w:rPr>
          <w:rFonts w:ascii="Gotham" w:eastAsia="Gotham" w:hAnsi="Gotham" w:cs="Gotham"/>
          <w:sz w:val="22"/>
          <w:szCs w:val="22"/>
        </w:rPr>
      </w:pPr>
      <w:r>
        <w:rPr>
          <w:rFonts w:ascii="Gotham" w:eastAsia="Gotham" w:hAnsi="Gotham" w:cs="Gotham"/>
          <w:sz w:val="22"/>
          <w:szCs w:val="22"/>
        </w:rPr>
        <w:t>Regular accessibility audits conducted by trained personnel</w:t>
      </w:r>
    </w:p>
    <w:p w14:paraId="5B24EFA0" w14:textId="77777777" w:rsidR="00FC28D5" w:rsidRDefault="00000000">
      <w:pPr>
        <w:numPr>
          <w:ilvl w:val="0"/>
          <w:numId w:val="1"/>
        </w:numPr>
        <w:spacing w:after="0" w:line="240" w:lineRule="auto"/>
        <w:jc w:val="both"/>
        <w:rPr>
          <w:rFonts w:ascii="Gotham" w:eastAsia="Gotham" w:hAnsi="Gotham" w:cs="Gotham"/>
          <w:sz w:val="22"/>
          <w:szCs w:val="22"/>
        </w:rPr>
      </w:pPr>
      <w:r>
        <w:rPr>
          <w:rFonts w:ascii="Gotham" w:eastAsia="Gotham" w:hAnsi="Gotham" w:cs="Gotham"/>
          <w:sz w:val="22"/>
          <w:szCs w:val="22"/>
        </w:rPr>
        <w:t>Customer feedback analysis and response tracking</w:t>
      </w:r>
    </w:p>
    <w:p w14:paraId="3309BFEB" w14:textId="77777777" w:rsidR="00FC28D5" w:rsidRDefault="00000000">
      <w:pPr>
        <w:numPr>
          <w:ilvl w:val="0"/>
          <w:numId w:val="1"/>
        </w:numPr>
        <w:spacing w:after="0" w:line="240" w:lineRule="auto"/>
        <w:jc w:val="both"/>
        <w:rPr>
          <w:rFonts w:ascii="Gotham" w:eastAsia="Gotham" w:hAnsi="Gotham" w:cs="Gotham"/>
          <w:sz w:val="22"/>
          <w:szCs w:val="22"/>
        </w:rPr>
      </w:pPr>
      <w:r>
        <w:rPr>
          <w:rFonts w:ascii="Gotham" w:eastAsia="Gotham" w:hAnsi="Gotham" w:cs="Gotham"/>
          <w:sz w:val="22"/>
          <w:szCs w:val="22"/>
        </w:rPr>
        <w:t>Employee training compliance monitoring</w:t>
      </w:r>
    </w:p>
    <w:p w14:paraId="18145857" w14:textId="77777777" w:rsidR="00FC28D5" w:rsidRDefault="00000000">
      <w:pPr>
        <w:numPr>
          <w:ilvl w:val="0"/>
          <w:numId w:val="1"/>
        </w:numPr>
        <w:spacing w:after="0" w:line="240" w:lineRule="auto"/>
        <w:jc w:val="both"/>
        <w:rPr>
          <w:rFonts w:ascii="Gotham" w:eastAsia="Gotham" w:hAnsi="Gotham" w:cs="Gotham"/>
          <w:sz w:val="22"/>
          <w:szCs w:val="22"/>
        </w:rPr>
      </w:pPr>
      <w:r>
        <w:rPr>
          <w:rFonts w:ascii="Gotham" w:eastAsia="Gotham" w:hAnsi="Gotham" w:cs="Gotham"/>
          <w:sz w:val="22"/>
          <w:szCs w:val="22"/>
        </w:rPr>
        <w:t>Physical accessibility feature inspections</w:t>
      </w:r>
    </w:p>
    <w:p w14:paraId="5F8DBD66" w14:textId="77777777" w:rsidR="00FC28D5" w:rsidRDefault="00000000">
      <w:pPr>
        <w:numPr>
          <w:ilvl w:val="0"/>
          <w:numId w:val="1"/>
        </w:numPr>
        <w:spacing w:after="0" w:line="240" w:lineRule="auto"/>
        <w:jc w:val="both"/>
        <w:rPr>
          <w:rFonts w:ascii="Gotham" w:eastAsia="Gotham" w:hAnsi="Gotham" w:cs="Gotham"/>
          <w:sz w:val="22"/>
          <w:szCs w:val="22"/>
        </w:rPr>
      </w:pPr>
      <w:r>
        <w:rPr>
          <w:rFonts w:ascii="Gotham" w:eastAsia="Gotham" w:hAnsi="Gotham" w:cs="Gotham"/>
          <w:sz w:val="22"/>
          <w:szCs w:val="22"/>
        </w:rPr>
        <w:t>Review of accommodation requests and outcomes</w:t>
      </w:r>
    </w:p>
    <w:p w14:paraId="5BA7C9F2" w14:textId="77777777" w:rsidR="00FC28D5" w:rsidRDefault="00000000">
      <w:pPr>
        <w:numPr>
          <w:ilvl w:val="0"/>
          <w:numId w:val="1"/>
        </w:numPr>
        <w:spacing w:after="280" w:line="240" w:lineRule="auto"/>
        <w:jc w:val="both"/>
        <w:rPr>
          <w:rFonts w:ascii="Gotham" w:eastAsia="Gotham" w:hAnsi="Gotham" w:cs="Gotham"/>
          <w:sz w:val="22"/>
          <w:szCs w:val="22"/>
        </w:rPr>
      </w:pPr>
      <w:r>
        <w:rPr>
          <w:rFonts w:ascii="Gotham" w:eastAsia="Gotham" w:hAnsi="Gotham" w:cs="Gotham"/>
          <w:sz w:val="22"/>
          <w:szCs w:val="22"/>
        </w:rPr>
        <w:t>Consultation with accessibility experts when needed</w:t>
      </w:r>
    </w:p>
    <w:p w14:paraId="4EFB253A" w14:textId="77777777" w:rsidR="00FC28D5" w:rsidRDefault="00000000">
      <w:pPr>
        <w:pBdr>
          <w:top w:val="nil"/>
          <w:left w:val="nil"/>
          <w:bottom w:val="nil"/>
          <w:right w:val="nil"/>
          <w:between w:val="nil"/>
        </w:pBdr>
        <w:spacing w:line="240" w:lineRule="auto"/>
        <w:jc w:val="both"/>
        <w:rPr>
          <w:rFonts w:ascii="Gotham" w:eastAsia="Gotham" w:hAnsi="Gotham" w:cs="Gotham"/>
          <w:color w:val="000000"/>
          <w:sz w:val="22"/>
          <w:szCs w:val="22"/>
        </w:rPr>
      </w:pPr>
      <w:r>
        <w:rPr>
          <w:rFonts w:ascii="Gotham" w:eastAsia="Gotham" w:hAnsi="Gotham" w:cs="Gotham"/>
          <w:color w:val="000000"/>
          <w:sz w:val="22"/>
          <w:szCs w:val="22"/>
        </w:rPr>
        <w:t>We maintain records of all accessibility improvements, training completion, and feedback received to ensure continuous improvement.</w:t>
      </w:r>
    </w:p>
    <w:p w14:paraId="13CFF385" w14:textId="77777777" w:rsidR="00FC28D5" w:rsidRDefault="00FC28D5">
      <w:pPr>
        <w:spacing w:after="280" w:line="240" w:lineRule="auto"/>
        <w:jc w:val="both"/>
        <w:rPr>
          <w:rFonts w:ascii="Gotham" w:eastAsia="Gotham" w:hAnsi="Gotham" w:cs="Gotham"/>
          <w:sz w:val="22"/>
          <w:szCs w:val="22"/>
        </w:rPr>
      </w:pPr>
    </w:p>
    <w:p w14:paraId="2BBDF9CD" w14:textId="77777777" w:rsidR="00FC28D5" w:rsidRDefault="00000000">
      <w:pPr>
        <w:pBdr>
          <w:top w:val="nil"/>
          <w:left w:val="nil"/>
          <w:bottom w:val="nil"/>
          <w:right w:val="nil"/>
          <w:between w:val="nil"/>
        </w:pBdr>
        <w:tabs>
          <w:tab w:val="center" w:pos="4680"/>
          <w:tab w:val="right" w:pos="9360"/>
        </w:tabs>
        <w:spacing w:after="0" w:line="240" w:lineRule="auto"/>
        <w:rPr>
          <w:b/>
          <w:color w:val="000000"/>
        </w:rPr>
      </w:pPr>
      <w:r>
        <w:rPr>
          <w:rFonts w:ascii="Gotham" w:eastAsia="Gotham" w:hAnsi="Gotham" w:cs="Gotham"/>
          <w:b/>
          <w:color w:val="000000"/>
          <w:sz w:val="22"/>
          <w:szCs w:val="22"/>
        </w:rPr>
        <w:t>Next review date: December 1, 2028</w:t>
      </w:r>
    </w:p>
    <w:sectPr w:rsidR="00FC28D5">
      <w:headerReference w:type="default" r:id="rId33"/>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D02B8" w14:textId="77777777" w:rsidR="00C50822" w:rsidRDefault="00C50822">
      <w:pPr>
        <w:spacing w:after="0" w:line="240" w:lineRule="auto"/>
      </w:pPr>
      <w:r>
        <w:separator/>
      </w:r>
    </w:p>
  </w:endnote>
  <w:endnote w:type="continuationSeparator" w:id="0">
    <w:p w14:paraId="3BB8DF57" w14:textId="77777777" w:rsidR="00C50822" w:rsidRDefault="00C50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3EF7D71-D5CE-6D48-B82B-946828CDD7B1}"/>
  </w:font>
  <w:font w:name="Courier New">
    <w:panose1 w:val="02070309020205020404"/>
    <w:charset w:val="00"/>
    <w:family w:val="modern"/>
    <w:pitch w:val="fixed"/>
    <w:sig w:usb0="E0002AFF" w:usb1="C0007843" w:usb2="00000009" w:usb3="00000000" w:csb0="000001FF" w:csb1="00000000"/>
    <w:embedRegular r:id="rId2" w:fontKey="{830428E9-54B7-B645-8D6A-09D8B0FCE956}"/>
  </w:font>
  <w:font w:name="Aptos">
    <w:panose1 w:val="020B0004020202020204"/>
    <w:charset w:val="00"/>
    <w:family w:val="swiss"/>
    <w:pitch w:val="variable"/>
    <w:sig w:usb0="20000287" w:usb1="00000003" w:usb2="00000000" w:usb3="00000000" w:csb0="0000019F" w:csb1="00000000"/>
    <w:embedRegular r:id="rId3" w:fontKey="{0127C500-6BF8-4040-8F09-697567DEAD49}"/>
    <w:embedBold r:id="rId4" w:fontKey="{B8A04EE4-8CC7-B444-A8BC-131BAB639356}"/>
    <w:embedItalic r:id="rId5" w:fontKey="{8E0D9BE8-B9B8-1B45-ADBE-C6F82BBCC35B}"/>
  </w:font>
  <w:font w:name="Play">
    <w:panose1 w:val="020B0604020202020204"/>
    <w:charset w:val="00"/>
    <w:family w:val="auto"/>
    <w:pitch w:val="default"/>
    <w:embedRegular r:id="rId6" w:fontKey="{08F45607-ED95-2946-ADBA-7B1D43371088}"/>
  </w:font>
  <w:font w:name="Gotham">
    <w:panose1 w:val="00000000000000000000"/>
    <w:charset w:val="00"/>
    <w:family w:val="auto"/>
    <w:notTrueType/>
    <w:pitch w:val="variable"/>
    <w:sig w:usb0="A10002FF" w:usb1="4000005B" w:usb2="00000000" w:usb3="00000000" w:csb0="0000009F" w:csb1="00000000"/>
  </w:font>
  <w:font w:name="Times New Roman">
    <w:panose1 w:val="02020603050405020304"/>
    <w:charset w:val="00"/>
    <w:family w:val="roman"/>
    <w:pitch w:val="variable"/>
    <w:sig w:usb0="E0002EFF" w:usb1="C000785B" w:usb2="00000009" w:usb3="00000000" w:csb0="000001FF" w:csb1="00000000"/>
    <w:embedRegular r:id="rId7" w:fontKey="{19E8C08C-9945-9A46-90C9-8CF7EB779F94}"/>
    <w:embedBold r:id="rId8" w:fontKey="{7FEA7208-BA00-974D-BCD3-F92A97EF8AE7}"/>
    <w:embedItalic r:id="rId9" w:fontKey="{133B9A9E-DD5E-B643-B71D-348D23A7B27B}"/>
  </w:font>
  <w:font w:name="Aptos Display">
    <w:panose1 w:val="020B0004020202020204"/>
    <w:charset w:val="00"/>
    <w:family w:val="swiss"/>
    <w:pitch w:val="variable"/>
    <w:sig w:usb0="20000287" w:usb1="00000003" w:usb2="00000000" w:usb3="00000000" w:csb0="0000019F" w:csb1="00000000"/>
    <w:embedRegular r:id="rId10" w:fontKey="{F46222AC-206A-034C-9E78-8212A0127A72}"/>
    <w:embedItalic r:id="rId11" w:fontKey="{3E7E93C5-AEE9-5E43-B735-6FEB332233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A39D8" w14:textId="77777777" w:rsidR="00C50822" w:rsidRDefault="00C50822">
      <w:pPr>
        <w:spacing w:after="0" w:line="240" w:lineRule="auto"/>
      </w:pPr>
      <w:r>
        <w:separator/>
      </w:r>
    </w:p>
  </w:footnote>
  <w:footnote w:type="continuationSeparator" w:id="0">
    <w:p w14:paraId="1503F95B" w14:textId="77777777" w:rsidR="00C50822" w:rsidRDefault="00C50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07A7F" w14:textId="77777777" w:rsidR="00FC28D5" w:rsidRDefault="00000000">
    <w:pPr>
      <w:pBdr>
        <w:top w:val="nil"/>
        <w:left w:val="nil"/>
        <w:bottom w:val="nil"/>
        <w:right w:val="nil"/>
        <w:between w:val="nil"/>
      </w:pBdr>
      <w:tabs>
        <w:tab w:val="center" w:pos="4680"/>
        <w:tab w:val="right" w:pos="9360"/>
      </w:tabs>
      <w:spacing w:after="0" w:line="240" w:lineRule="auto"/>
      <w:rPr>
        <w:b/>
        <w:color w:val="000000"/>
        <w:sz w:val="15"/>
        <w:szCs w:val="15"/>
      </w:rPr>
    </w:pPr>
    <w:r w:rsidRPr="00932948">
      <w:rPr>
        <w:b/>
        <w:color w:val="000000"/>
        <w:sz w:val="32"/>
        <w:szCs w:val="32"/>
      </w:rPr>
      <w:t>LZB Multi-Ye</w:t>
    </w:r>
    <w:r w:rsidRPr="00932948">
      <w:rPr>
        <w:b/>
        <w:sz w:val="32"/>
        <w:szCs w:val="32"/>
      </w:rPr>
      <w:t>a</w:t>
    </w:r>
    <w:r w:rsidRPr="00932948">
      <w:rPr>
        <w:b/>
        <w:color w:val="000000"/>
        <w:sz w:val="32"/>
        <w:szCs w:val="32"/>
      </w:rPr>
      <w:t>r Accessibility Plan</w:t>
    </w:r>
    <w:r>
      <w:rPr>
        <w:color w:val="000000"/>
        <w:sz w:val="15"/>
        <w:szCs w:val="15"/>
      </w:rPr>
      <w:br/>
      <w:t xml:space="preserve">Last </w:t>
    </w:r>
    <w:r>
      <w:rPr>
        <w:sz w:val="15"/>
        <w:szCs w:val="15"/>
      </w:rPr>
      <w:t>up</w:t>
    </w:r>
    <w:r>
      <w:rPr>
        <w:color w:val="000000"/>
        <w:sz w:val="15"/>
        <w:szCs w:val="15"/>
      </w:rPr>
      <w:t>dated</w:t>
    </w:r>
    <w:r>
      <w:rPr>
        <w:i/>
        <w:color w:val="000000"/>
        <w:sz w:val="15"/>
        <w:szCs w:val="15"/>
      </w:rPr>
      <w:t xml:space="preserve">:  </w:t>
    </w:r>
    <w:r>
      <w:rPr>
        <w:i/>
        <w:sz w:val="15"/>
        <w:szCs w:val="15"/>
      </w:rPr>
      <w:t>August 28,</w:t>
    </w:r>
    <w:r>
      <w:rPr>
        <w:i/>
        <w:color w:val="000000"/>
        <w:sz w:val="15"/>
        <w:szCs w:val="15"/>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796C"/>
    <w:multiLevelType w:val="multilevel"/>
    <w:tmpl w:val="D3248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E51E30"/>
    <w:multiLevelType w:val="multilevel"/>
    <w:tmpl w:val="C114C9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7754755">
    <w:abstractNumId w:val="1"/>
  </w:num>
  <w:num w:numId="2" w16cid:durableId="1328245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8D5"/>
    <w:rsid w:val="00121D21"/>
    <w:rsid w:val="00932948"/>
    <w:rsid w:val="00C50822"/>
    <w:rsid w:val="00FC28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CB66CA0"/>
  <w15:docId w15:val="{8B25B1C3-C27E-6C4E-84DF-2F425A92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hd w:val="clear" w:color="auto" w:fill="002060"/>
      <w:spacing w:after="0"/>
      <w:jc w:val="both"/>
      <w:outlineLvl w:val="2"/>
    </w:pPr>
    <w:rPr>
      <w:rFonts w:ascii="Gotham" w:eastAsia="Gotham" w:hAnsi="Gotham" w:cs="Gotham"/>
      <w:color w:val="FFFFFF"/>
      <w:sz w:val="22"/>
      <w:szCs w:val="22"/>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339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39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39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339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339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C2C5C"/>
    <w:rPr>
      <w:rFonts w:ascii="Gotham" w:eastAsia="Gotham" w:hAnsi="Gotham" w:cs="Gotham"/>
      <w:color w:val="FFFFFF"/>
      <w:sz w:val="22"/>
      <w:szCs w:val="22"/>
      <w:shd w:val="clear" w:color="auto" w:fill="002060"/>
    </w:rPr>
  </w:style>
  <w:style w:type="character" w:customStyle="1" w:styleId="Heading4Char">
    <w:name w:val="Heading 4 Char"/>
    <w:basedOn w:val="DefaultParagraphFont"/>
    <w:link w:val="Heading4"/>
    <w:uiPriority w:val="9"/>
    <w:semiHidden/>
    <w:rsid w:val="00C339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39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39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39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39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392A"/>
    <w:rPr>
      <w:rFonts w:eastAsiaTheme="majorEastAsia" w:cstheme="majorBidi"/>
      <w:color w:val="272727" w:themeColor="text1" w:themeTint="D8"/>
    </w:rPr>
  </w:style>
  <w:style w:type="character" w:customStyle="1" w:styleId="TitleChar">
    <w:name w:val="Title Char"/>
    <w:basedOn w:val="DefaultParagraphFont"/>
    <w:link w:val="Title"/>
    <w:uiPriority w:val="10"/>
    <w:rsid w:val="00C3392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339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392A"/>
    <w:pPr>
      <w:spacing w:before="160"/>
      <w:jc w:val="center"/>
    </w:pPr>
    <w:rPr>
      <w:i/>
      <w:iCs/>
      <w:color w:val="404040" w:themeColor="text1" w:themeTint="BF"/>
    </w:rPr>
  </w:style>
  <w:style w:type="character" w:customStyle="1" w:styleId="QuoteChar">
    <w:name w:val="Quote Char"/>
    <w:basedOn w:val="DefaultParagraphFont"/>
    <w:link w:val="Quote"/>
    <w:uiPriority w:val="29"/>
    <w:rsid w:val="00C3392A"/>
    <w:rPr>
      <w:i/>
      <w:iCs/>
      <w:color w:val="404040" w:themeColor="text1" w:themeTint="BF"/>
    </w:rPr>
  </w:style>
  <w:style w:type="paragraph" w:styleId="ListParagraph">
    <w:name w:val="List Paragraph"/>
    <w:basedOn w:val="Normal"/>
    <w:uiPriority w:val="34"/>
    <w:qFormat/>
    <w:rsid w:val="00C3392A"/>
    <w:pPr>
      <w:ind w:left="720"/>
      <w:contextualSpacing/>
    </w:pPr>
  </w:style>
  <w:style w:type="character" w:styleId="IntenseEmphasis">
    <w:name w:val="Intense Emphasis"/>
    <w:basedOn w:val="DefaultParagraphFont"/>
    <w:uiPriority w:val="21"/>
    <w:qFormat/>
    <w:rsid w:val="00C3392A"/>
    <w:rPr>
      <w:i/>
      <w:iCs/>
      <w:color w:val="0F4761" w:themeColor="accent1" w:themeShade="BF"/>
    </w:rPr>
  </w:style>
  <w:style w:type="paragraph" w:styleId="IntenseQuote">
    <w:name w:val="Intense Quote"/>
    <w:basedOn w:val="Normal"/>
    <w:next w:val="Normal"/>
    <w:link w:val="IntenseQuoteChar"/>
    <w:uiPriority w:val="30"/>
    <w:qFormat/>
    <w:rsid w:val="00C339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392A"/>
    <w:rPr>
      <w:i/>
      <w:iCs/>
      <w:color w:val="0F4761" w:themeColor="accent1" w:themeShade="BF"/>
    </w:rPr>
  </w:style>
  <w:style w:type="character" w:styleId="IntenseReference">
    <w:name w:val="Intense Reference"/>
    <w:basedOn w:val="DefaultParagraphFont"/>
    <w:uiPriority w:val="32"/>
    <w:qFormat/>
    <w:rsid w:val="00C3392A"/>
    <w:rPr>
      <w:b/>
      <w:bCs/>
      <w:smallCaps/>
      <w:color w:val="0F4761" w:themeColor="accent1" w:themeShade="BF"/>
      <w:spacing w:val="5"/>
    </w:rPr>
  </w:style>
  <w:style w:type="paragraph" w:styleId="NormalWeb">
    <w:name w:val="Normal (Web)"/>
    <w:basedOn w:val="Normal"/>
    <w:uiPriority w:val="99"/>
    <w:semiHidden/>
    <w:unhideWhenUsed/>
    <w:rsid w:val="00C3392A"/>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C3392A"/>
    <w:rPr>
      <w:color w:val="0000FF"/>
      <w:u w:val="single"/>
    </w:rPr>
  </w:style>
  <w:style w:type="paragraph" w:styleId="Header">
    <w:name w:val="header"/>
    <w:basedOn w:val="Normal"/>
    <w:link w:val="HeaderChar"/>
    <w:uiPriority w:val="99"/>
    <w:unhideWhenUsed/>
    <w:rsid w:val="00C339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92A"/>
  </w:style>
  <w:style w:type="paragraph" w:styleId="Footer">
    <w:name w:val="footer"/>
    <w:basedOn w:val="Normal"/>
    <w:link w:val="FooterChar"/>
    <w:uiPriority w:val="99"/>
    <w:unhideWhenUsed/>
    <w:rsid w:val="00C339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92A"/>
  </w:style>
  <w:style w:type="character" w:styleId="Strong">
    <w:name w:val="Strong"/>
    <w:basedOn w:val="DefaultParagraphFont"/>
    <w:uiPriority w:val="22"/>
    <w:qFormat/>
    <w:rsid w:val="00F0691C"/>
    <w:rPr>
      <w:b/>
      <w:bCs/>
    </w:rPr>
  </w:style>
  <w:style w:type="paragraph" w:customStyle="1" w:styleId="Header1">
    <w:name w:val="Header1"/>
    <w:basedOn w:val="Heading3"/>
    <w:qFormat/>
    <w:rsid w:val="00E75734"/>
    <w:rPr>
      <w:rFonts w:eastAsia="Play" w:cs="Play"/>
      <w:color w:val="002060"/>
    </w:rPr>
  </w:style>
  <w:style w:type="table" w:styleId="TableGridLight">
    <w:name w:val="Grid Table Light"/>
    <w:basedOn w:val="TableNormal"/>
    <w:uiPriority w:val="40"/>
    <w:rsid w:val="00D21D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21D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21D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1D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1D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21D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94474"/>
    <w:rPr>
      <w:color w:val="605E5C"/>
      <w:shd w:val="clear" w:color="auto" w:fill="E1DFDD"/>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Subtitle">
    <w:name w:val="Subtitle"/>
    <w:basedOn w:val="Normal"/>
    <w:next w:val="Normal"/>
    <w:link w:val="SubtitleChar"/>
    <w:uiPriority w:val="11"/>
    <w:qFormat/>
    <w:rPr>
      <w:color w:val="595959"/>
      <w:sz w:val="28"/>
      <w:szCs w:val="28"/>
    </w:rPr>
  </w:style>
  <w:style w:type="table" w:customStyle="1" w:styleId="a9">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c">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tylemeetscomfort.ca/accessibility-policy-la-z-boy-of-ottawa-and-kingston" TargetMode="External"/><Relationship Id="rId18" Type="http://schemas.openxmlformats.org/officeDocument/2006/relationships/hyperlink" Target="https://www.stylemeetscomfort.ca/accessibility-policy-la-z-boy-of-ottawa-and-kingston" TargetMode="External"/><Relationship Id="rId26" Type="http://schemas.openxmlformats.org/officeDocument/2006/relationships/hyperlink" Target="https://www.stylemeetscomfort.ca/accessibility-policy-la-z-boy-of-ottawa-and-kingston" TargetMode="External"/><Relationship Id="rId3" Type="http://schemas.openxmlformats.org/officeDocument/2006/relationships/styles" Target="styles.xml"/><Relationship Id="rId21" Type="http://schemas.openxmlformats.org/officeDocument/2006/relationships/hyperlink" Target="https://www.stylemeetscomfort.ca/accessibility-policy-la-z-boy-of-ottawa-and-kingst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tylemeetscomfort.ca/accessibility-policy-la-z-boy-of-ottawa-and-kingston" TargetMode="External"/><Relationship Id="rId17" Type="http://schemas.openxmlformats.org/officeDocument/2006/relationships/hyperlink" Target="https://www.ontario.ca/laws/regulation/110191" TargetMode="External"/><Relationship Id="rId25" Type="http://schemas.openxmlformats.org/officeDocument/2006/relationships/hyperlink" Target="https://www.stylemeetscomfort.ca/accessibility-policy-la-z-boy-of-ottawa-and-kingston"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tylemeetscomfort.ca/accessibility-policy-la-z-boy-of-ottawa-and-kingston" TargetMode="External"/><Relationship Id="rId20" Type="http://schemas.openxmlformats.org/officeDocument/2006/relationships/hyperlink" Target="https://www.ontario.ca/laws/regulation/110191" TargetMode="External"/><Relationship Id="rId29" Type="http://schemas.openxmlformats.org/officeDocument/2006/relationships/hyperlink" Target="https://www.stylemeetscomfort.ca/accessibility-policy-la-z-boy-of-ottawa-and-kingst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tario.ca/laws/regulation/110191" TargetMode="External"/><Relationship Id="rId24" Type="http://schemas.openxmlformats.org/officeDocument/2006/relationships/hyperlink" Target="https://www.stylemeetscomfort.ca/accessibility-policy-la-z-boy-of-ottawa-and-kingston" TargetMode="External"/><Relationship Id="rId32" Type="http://schemas.openxmlformats.org/officeDocument/2006/relationships/hyperlink" Target="https://www.stylemeetscomfort.ca/accessibility-policy-la-z-boy-of-ottawa-and-kingston" TargetMode="External"/><Relationship Id="rId5" Type="http://schemas.openxmlformats.org/officeDocument/2006/relationships/webSettings" Target="webSettings.xml"/><Relationship Id="rId15" Type="http://schemas.openxmlformats.org/officeDocument/2006/relationships/hyperlink" Target="https://www.stylemeetscomfort.ca/accessibility-policy-la-z-boy-of-ottawa-and-kingston" TargetMode="External"/><Relationship Id="rId23" Type="http://schemas.openxmlformats.org/officeDocument/2006/relationships/hyperlink" Target="https://www.stylemeetscomfort.ca/accessibility-policy-la-z-boy-of-ottawa-and-kingston" TargetMode="External"/><Relationship Id="rId28" Type="http://schemas.openxmlformats.org/officeDocument/2006/relationships/hyperlink" Target="https://www.stylemeetscomfort.ca/accessibility-policy-la-z-boy-of-ottawa-and-kingston" TargetMode="External"/><Relationship Id="rId10" Type="http://schemas.openxmlformats.org/officeDocument/2006/relationships/hyperlink" Target="https://www.stylemeetscomfort.ca/accessibility-policy-la-z-boy-of-ottawa-and-kingston" TargetMode="External"/><Relationship Id="rId19" Type="http://schemas.openxmlformats.org/officeDocument/2006/relationships/hyperlink" Target="https://www.stylemeetscomfort.ca/accessibility-policy-la-z-boy-of-ottawa-and-kingston" TargetMode="External"/><Relationship Id="rId31" Type="http://schemas.openxmlformats.org/officeDocument/2006/relationships/hyperlink" Target="https://www.stylemeetscomfort.ca/accessibility-policy-la-z-boy-of-ottawa-and-kingston" TargetMode="External"/><Relationship Id="rId4" Type="http://schemas.openxmlformats.org/officeDocument/2006/relationships/settings" Target="settings.xml"/><Relationship Id="rId9" Type="http://schemas.openxmlformats.org/officeDocument/2006/relationships/hyperlink" Target="https://www.stylemeetscomfort.ca/accessibility-policy-la-z-boy-of-ottawa-and-kingston" TargetMode="External"/><Relationship Id="rId14" Type="http://schemas.openxmlformats.org/officeDocument/2006/relationships/hyperlink" Target="https://www.ontario.ca/laws/regulation/110191" TargetMode="External"/><Relationship Id="rId22" Type="http://schemas.openxmlformats.org/officeDocument/2006/relationships/hyperlink" Target="https://www.stylemeetscomfort.ca/accessibility-policy-la-z-boy-of-ottawa-and-kingston" TargetMode="External"/><Relationship Id="rId27" Type="http://schemas.openxmlformats.org/officeDocument/2006/relationships/hyperlink" Target="https://www.stylemeetscomfort.ca/accessibility-policy-la-z-boy-of-ottawa-and-kingston" TargetMode="External"/><Relationship Id="rId30" Type="http://schemas.openxmlformats.org/officeDocument/2006/relationships/hyperlink" Target="https://www.stylemeetscomfort.ca/accessibility-policy-la-z-boy-of-ottawa-and-kingston" TargetMode="External"/><Relationship Id="rId35" Type="http://schemas.openxmlformats.org/officeDocument/2006/relationships/theme" Target="theme/theme1.xml"/><Relationship Id="rId8" Type="http://schemas.openxmlformats.org/officeDocument/2006/relationships/hyperlink" Target="https://www.stylemeetscomfort.ca/accessibility-policy-la-z-boy-of-ottawa-and-kingst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y5qRuPm+c17weXHVYHyFGLkM7w==">CgMxLjA4AHIhMVpKQmNSOTIyYkJQZVFKRGJLX3BLbGR2LUZJbWFFRmZD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3811</Words>
  <Characters>21729</Characters>
  <Application>Microsoft Office Word</Application>
  <DocSecurity>0</DocSecurity>
  <Lines>181</Lines>
  <Paragraphs>50</Paragraphs>
  <ScaleCrop>false</ScaleCrop>
  <Company/>
  <LinksUpToDate>false</LinksUpToDate>
  <CharactersWithSpaces>25490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Diallo</dc:creator>
  <cp:lastModifiedBy>Ibrahim Diallo</cp:lastModifiedBy>
  <cp:revision>2</cp:revision>
  <dcterms:created xsi:type="dcterms:W3CDTF">2025-07-21T20:01:00Z</dcterms:created>
  <dcterms:modified xsi:type="dcterms:W3CDTF">2025-08-28T18:03:00Z</dcterms:modified>
</cp:coreProperties>
</file>